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8F7DB" w14:textId="77777777" w:rsidR="001815AC" w:rsidRDefault="00554FD9" w:rsidP="00F64B29">
      <w:pPr>
        <w:pStyle w:val="NormalWeb"/>
        <w:spacing w:after="0" w:afterAutospacing="0" w:line="276" w:lineRule="auto"/>
        <w:ind w:right="-567"/>
        <w:textAlignment w:val="baseline"/>
        <w:rPr>
          <w:rFonts w:ascii="Sora" w:hAnsi="Sora" w:cs="Sora"/>
          <w:b/>
          <w:bCs/>
          <w:sz w:val="36"/>
        </w:rPr>
      </w:pPr>
      <w:bookmarkStart w:id="0" w:name="_Hlk534903597"/>
      <w:bookmarkStart w:id="1" w:name="_Hlk188884993"/>
      <w:r>
        <w:rPr>
          <w:rFonts w:ascii="Sora" w:hAnsi="Sora" w:cs="Sora"/>
          <w:b/>
          <w:bCs/>
          <w:sz w:val="36"/>
        </w:rPr>
        <w:t xml:space="preserve">Businesses see </w:t>
      </w:r>
      <w:r w:rsidR="00554BAF">
        <w:rPr>
          <w:rFonts w:ascii="Sora" w:hAnsi="Sora" w:cs="Sora"/>
          <w:b/>
          <w:bCs/>
          <w:sz w:val="36"/>
        </w:rPr>
        <w:t>major</w:t>
      </w:r>
      <w:r>
        <w:rPr>
          <w:rFonts w:ascii="Sora" w:hAnsi="Sora" w:cs="Sora"/>
          <w:b/>
          <w:bCs/>
          <w:sz w:val="36"/>
        </w:rPr>
        <w:t xml:space="preserve"> risk</w:t>
      </w:r>
      <w:r w:rsidR="00554BAF">
        <w:rPr>
          <w:rFonts w:ascii="Sora" w:hAnsi="Sora" w:cs="Sora"/>
          <w:b/>
          <w:bCs/>
          <w:sz w:val="36"/>
        </w:rPr>
        <w:t>s</w:t>
      </w:r>
      <w:r>
        <w:rPr>
          <w:rFonts w:ascii="Sora" w:hAnsi="Sora" w:cs="Sora"/>
          <w:b/>
          <w:bCs/>
          <w:sz w:val="36"/>
        </w:rPr>
        <w:t xml:space="preserve">, </w:t>
      </w:r>
      <w:r w:rsidR="00554BAF">
        <w:rPr>
          <w:rFonts w:ascii="Sora" w:hAnsi="Sora" w:cs="Sora"/>
          <w:b/>
          <w:bCs/>
          <w:sz w:val="36"/>
        </w:rPr>
        <w:t xml:space="preserve">but </w:t>
      </w:r>
      <w:r>
        <w:rPr>
          <w:rFonts w:ascii="Sora" w:hAnsi="Sora" w:cs="Sora"/>
          <w:b/>
          <w:bCs/>
          <w:sz w:val="36"/>
        </w:rPr>
        <w:t>still buy on price</w:t>
      </w:r>
    </w:p>
    <w:p w14:paraId="23EDDADC" w14:textId="61AE1ADA" w:rsidR="001815AC" w:rsidRPr="001815AC" w:rsidRDefault="001815AC" w:rsidP="00F64B29">
      <w:pPr>
        <w:pStyle w:val="NormalWeb"/>
        <w:spacing w:before="0" w:beforeAutospacing="0" w:line="276" w:lineRule="auto"/>
        <w:ind w:right="-567"/>
        <w:textAlignment w:val="baseline"/>
        <w:rPr>
          <w:rFonts w:ascii="Sora" w:hAnsi="Sora" w:cs="Sora"/>
          <w:i/>
          <w:iCs/>
          <w:sz w:val="28"/>
          <w:szCs w:val="28"/>
        </w:rPr>
      </w:pPr>
      <w:r>
        <w:rPr>
          <w:rFonts w:ascii="Sora" w:hAnsi="Sora" w:cs="Sora"/>
          <w:i/>
          <w:iCs/>
          <w:sz w:val="28"/>
          <w:szCs w:val="28"/>
        </w:rPr>
        <w:t>Results of this year’s Inverto Raw Materials Study</w:t>
      </w:r>
    </w:p>
    <w:p w14:paraId="1FD0A0A8" w14:textId="77777777" w:rsidR="00A62B05" w:rsidRPr="00661C38" w:rsidRDefault="00A62B05" w:rsidP="00A62B05">
      <w:pPr>
        <w:pStyle w:val="NormalWeb"/>
        <w:numPr>
          <w:ilvl w:val="0"/>
          <w:numId w:val="2"/>
        </w:numPr>
        <w:spacing w:line="276" w:lineRule="auto"/>
        <w:ind w:right="-567"/>
        <w:textAlignment w:val="baseline"/>
        <w:rPr>
          <w:rFonts w:ascii="Sora" w:hAnsi="Sora" w:cs="Sora"/>
          <w:b/>
          <w:bCs/>
          <w:color w:val="000000"/>
          <w:sz w:val="22"/>
        </w:rPr>
      </w:pPr>
      <w:r w:rsidRPr="00661C38">
        <w:rPr>
          <w:rFonts w:ascii="Sora" w:hAnsi="Sora" w:cs="Sora"/>
          <w:b/>
          <w:bCs/>
          <w:color w:val="000000"/>
          <w:sz w:val="22"/>
        </w:rPr>
        <w:t>91% of businesses report an impact from geopolitical developments on their supply chains, yet 66% still prioritize price over supply resilience</w:t>
      </w:r>
    </w:p>
    <w:p w14:paraId="4EBB5035" w14:textId="77777777" w:rsidR="00A62B05" w:rsidRPr="00661C38" w:rsidRDefault="00A62B05" w:rsidP="00A62B05">
      <w:pPr>
        <w:pStyle w:val="NormalWeb"/>
        <w:numPr>
          <w:ilvl w:val="0"/>
          <w:numId w:val="2"/>
        </w:numPr>
        <w:spacing w:line="276" w:lineRule="auto"/>
        <w:ind w:right="-567"/>
        <w:textAlignment w:val="baseline"/>
        <w:rPr>
          <w:rFonts w:ascii="Sora" w:hAnsi="Sora" w:cs="Sora"/>
          <w:b/>
          <w:bCs/>
          <w:color w:val="000000"/>
          <w:sz w:val="22"/>
        </w:rPr>
      </w:pPr>
      <w:r w:rsidRPr="00661C38">
        <w:rPr>
          <w:rFonts w:ascii="Sora" w:hAnsi="Sora" w:cs="Sora"/>
          <w:b/>
          <w:bCs/>
          <w:color w:val="000000"/>
          <w:sz w:val="22"/>
        </w:rPr>
        <w:t>86% of businesses expect raw material prices to rise over the next 12 months — the highest level since 2020</w:t>
      </w:r>
    </w:p>
    <w:p w14:paraId="559F59D6" w14:textId="20C968AD" w:rsidR="00A62B05" w:rsidRPr="00661C38" w:rsidRDefault="00A62B05" w:rsidP="00A62B05">
      <w:pPr>
        <w:pStyle w:val="NormalWeb"/>
        <w:numPr>
          <w:ilvl w:val="0"/>
          <w:numId w:val="2"/>
        </w:numPr>
        <w:spacing w:line="276" w:lineRule="auto"/>
        <w:ind w:right="-567"/>
        <w:textAlignment w:val="baseline"/>
        <w:rPr>
          <w:rFonts w:ascii="Sora" w:hAnsi="Sora" w:cs="Sora"/>
          <w:b/>
          <w:bCs/>
          <w:color w:val="000000"/>
          <w:sz w:val="22"/>
        </w:rPr>
      </w:pPr>
      <w:r w:rsidRPr="00661C38">
        <w:rPr>
          <w:rFonts w:ascii="Sora" w:hAnsi="Sora" w:cs="Sora"/>
          <w:b/>
          <w:bCs/>
          <w:color w:val="000000"/>
          <w:sz w:val="22"/>
        </w:rPr>
        <w:t xml:space="preserve">Only 7% of businesses have fully </w:t>
      </w:r>
      <w:r w:rsidR="001815FE">
        <w:rPr>
          <w:rFonts w:ascii="Sora" w:hAnsi="Sora" w:cs="Sora"/>
          <w:b/>
          <w:bCs/>
          <w:color w:val="000000"/>
          <w:sz w:val="22"/>
        </w:rPr>
        <w:t>integrated</w:t>
      </w:r>
      <w:r w:rsidR="001815FE" w:rsidRPr="00661C38">
        <w:rPr>
          <w:rFonts w:ascii="Sora" w:hAnsi="Sora" w:cs="Sora"/>
          <w:b/>
          <w:bCs/>
          <w:color w:val="000000"/>
          <w:sz w:val="22"/>
        </w:rPr>
        <w:t xml:space="preserve"> </w:t>
      </w:r>
      <w:r w:rsidRPr="00661C38">
        <w:rPr>
          <w:rFonts w:ascii="Sora" w:hAnsi="Sora" w:cs="Sora"/>
          <w:b/>
          <w:bCs/>
          <w:color w:val="000000"/>
          <w:sz w:val="22"/>
        </w:rPr>
        <w:t>AI in raw material</w:t>
      </w:r>
      <w:r w:rsidR="001815FE">
        <w:rPr>
          <w:rFonts w:ascii="Sora" w:hAnsi="Sora" w:cs="Sora"/>
          <w:b/>
          <w:bCs/>
          <w:color w:val="000000"/>
          <w:sz w:val="22"/>
        </w:rPr>
        <w:t>s</w:t>
      </w:r>
      <w:r w:rsidRPr="00661C38">
        <w:rPr>
          <w:rFonts w:ascii="Sora" w:hAnsi="Sora" w:cs="Sora"/>
          <w:b/>
          <w:bCs/>
          <w:color w:val="000000"/>
          <w:sz w:val="22"/>
        </w:rPr>
        <w:t xml:space="preserve"> management, despite widespread recognition of its benefits</w:t>
      </w:r>
    </w:p>
    <w:p w14:paraId="5D46380A" w14:textId="7B67672B" w:rsidR="00A62B05" w:rsidRDefault="006C539F" w:rsidP="0043307A">
      <w:pPr>
        <w:pStyle w:val="ListParagraph"/>
        <w:numPr>
          <w:ilvl w:val="0"/>
          <w:numId w:val="2"/>
        </w:numPr>
        <w:autoSpaceDE w:val="0"/>
        <w:autoSpaceDN w:val="0"/>
        <w:spacing w:line="276" w:lineRule="auto"/>
        <w:ind w:right="-567"/>
        <w:textAlignment w:val="baseline"/>
        <w:rPr>
          <w:rFonts w:ascii="Sora" w:hAnsi="Sora" w:cs="Sora"/>
          <w:b/>
          <w:bCs/>
          <w:color w:val="000000"/>
        </w:rPr>
      </w:pPr>
      <w:r w:rsidRPr="0005009F">
        <w:rPr>
          <w:rFonts w:ascii="Sora" w:hAnsi="Sora" w:cs="Sora"/>
          <w:b/>
          <w:szCs w:val="22"/>
        </w:rPr>
        <w:t>Only 2% without changes to their sourcing strategy:</w:t>
      </w:r>
      <w:r w:rsidRPr="006C539F">
        <w:rPr>
          <w:rFonts w:ascii="Sora" w:hAnsi="Sora" w:cs="Sora"/>
          <w:szCs w:val="22"/>
        </w:rPr>
        <w:t xml:space="preserve"> </w:t>
      </w:r>
      <w:r w:rsidR="00A62B05" w:rsidRPr="006C539F">
        <w:rPr>
          <w:rFonts w:ascii="Sora" w:hAnsi="Sora" w:cs="Sora"/>
          <w:b/>
          <w:bCs/>
          <w:color w:val="000000"/>
        </w:rPr>
        <w:t>48% of businesses are reinforcing sourcing cooperations, 46% dual or multiple sourcing, and 41% nearshoring in response to supply chain risk</w:t>
      </w:r>
    </w:p>
    <w:p w14:paraId="35B25D2F" w14:textId="77777777" w:rsidR="006C539F" w:rsidRPr="006C539F" w:rsidRDefault="006C539F" w:rsidP="006C539F">
      <w:pPr>
        <w:autoSpaceDE w:val="0"/>
        <w:autoSpaceDN w:val="0"/>
        <w:spacing w:line="276" w:lineRule="auto"/>
        <w:ind w:left="360" w:right="-567"/>
        <w:textAlignment w:val="baseline"/>
        <w:rPr>
          <w:rFonts w:ascii="Sora" w:hAnsi="Sora" w:cs="Sora"/>
          <w:b/>
          <w:bCs/>
          <w:color w:val="000000"/>
        </w:rPr>
      </w:pPr>
    </w:p>
    <w:bookmarkEnd w:id="0"/>
    <w:p w14:paraId="58F2C4EC" w14:textId="7F86D71E" w:rsidR="00661C38" w:rsidRPr="00661C38" w:rsidRDefault="00F64B29" w:rsidP="00661C38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  <w:r>
        <w:rPr>
          <w:rFonts w:ascii="Sora" w:hAnsi="Sora" w:cs="Sora"/>
          <w:b/>
          <w:bCs/>
        </w:rPr>
        <w:t>September xx</w:t>
      </w:r>
      <w:r w:rsidR="004830D0" w:rsidRPr="00661C38">
        <w:rPr>
          <w:rFonts w:ascii="Sora" w:hAnsi="Sora" w:cs="Sora"/>
          <w:b/>
          <w:bCs/>
        </w:rPr>
        <w:t>, 20</w:t>
      </w:r>
      <w:r w:rsidR="00A62B05" w:rsidRPr="00661C38">
        <w:rPr>
          <w:rFonts w:ascii="Sora" w:hAnsi="Sora" w:cs="Sora"/>
          <w:b/>
          <w:bCs/>
        </w:rPr>
        <w:t>26</w:t>
      </w:r>
      <w:r w:rsidR="001815AC">
        <w:rPr>
          <w:rFonts w:ascii="Sora" w:hAnsi="Sora" w:cs="Sora"/>
        </w:rPr>
        <w:t xml:space="preserve">. </w:t>
      </w:r>
      <w:r w:rsidR="001815FE">
        <w:rPr>
          <w:rFonts w:ascii="Sora" w:hAnsi="Sora" w:cs="Sora"/>
          <w:szCs w:val="22"/>
        </w:rPr>
        <w:t>B</w:t>
      </w:r>
      <w:r w:rsidR="00661C38" w:rsidRPr="00661C38">
        <w:rPr>
          <w:rFonts w:ascii="Sora" w:hAnsi="Sora" w:cs="Sora"/>
          <w:szCs w:val="22"/>
        </w:rPr>
        <w:t xml:space="preserve">usinesses are under mounting pressure to turn raw material risk awareness into action, according to </w:t>
      </w:r>
      <w:r w:rsidR="00AD16BC">
        <w:rPr>
          <w:rFonts w:ascii="Sora" w:hAnsi="Sora" w:cs="Sora"/>
          <w:szCs w:val="22"/>
        </w:rPr>
        <w:t>new research</w:t>
      </w:r>
      <w:r w:rsidR="00F81A69">
        <w:rPr>
          <w:rFonts w:ascii="Sora" w:hAnsi="Sora" w:cs="Sora"/>
          <w:szCs w:val="22"/>
        </w:rPr>
        <w:t xml:space="preserve"> </w:t>
      </w:r>
      <w:r w:rsidR="00661C38" w:rsidRPr="00661C38">
        <w:rPr>
          <w:rFonts w:ascii="Sora" w:hAnsi="Sora" w:cs="Sora"/>
          <w:szCs w:val="22"/>
        </w:rPr>
        <w:t xml:space="preserve">by </w:t>
      </w:r>
      <w:r w:rsidR="001815AC">
        <w:rPr>
          <w:rFonts w:ascii="Sora" w:hAnsi="Sora" w:cs="Sora"/>
          <w:szCs w:val="22"/>
        </w:rPr>
        <w:t xml:space="preserve">procurement and </w:t>
      </w:r>
      <w:r w:rsidR="00F81A69">
        <w:rPr>
          <w:rFonts w:ascii="Sora" w:hAnsi="Sora" w:cs="Sora"/>
          <w:szCs w:val="22"/>
        </w:rPr>
        <w:t xml:space="preserve">supply chain management consultancy </w:t>
      </w:r>
      <w:r w:rsidR="00661C38" w:rsidRPr="00661C38">
        <w:rPr>
          <w:rFonts w:ascii="Sora" w:hAnsi="Sora" w:cs="Sora"/>
          <w:szCs w:val="22"/>
        </w:rPr>
        <w:t>Inverto</w:t>
      </w:r>
      <w:r w:rsidR="00F81A69">
        <w:rPr>
          <w:rFonts w:ascii="Sora" w:hAnsi="Sora" w:cs="Sora"/>
          <w:szCs w:val="22"/>
        </w:rPr>
        <w:t>, part of Boston Consulting Group</w:t>
      </w:r>
      <w:r w:rsidR="00661C38" w:rsidRPr="00661C38">
        <w:rPr>
          <w:rFonts w:ascii="Sora" w:hAnsi="Sora" w:cs="Sora"/>
          <w:szCs w:val="22"/>
        </w:rPr>
        <w:t xml:space="preserve">. The </w:t>
      </w:r>
      <w:r w:rsidR="00F81A69">
        <w:rPr>
          <w:rFonts w:ascii="Sora" w:hAnsi="Sora" w:cs="Sora"/>
          <w:szCs w:val="22"/>
        </w:rPr>
        <w:t xml:space="preserve">2026 </w:t>
      </w:r>
      <w:r w:rsidR="00661C38" w:rsidRPr="00661C38">
        <w:rPr>
          <w:rFonts w:ascii="Sora" w:hAnsi="Sora" w:cs="Sora"/>
          <w:szCs w:val="22"/>
        </w:rPr>
        <w:t>Raw Materials Study surveyed 354 managing directors, board members and procurement decision-makers across Europe and the Asia/Pacific Region</w:t>
      </w:r>
      <w:r>
        <w:rPr>
          <w:rFonts w:ascii="Sora" w:hAnsi="Sora" w:cs="Sora"/>
          <w:szCs w:val="22"/>
        </w:rPr>
        <w:t xml:space="preserve"> (APAC)</w:t>
      </w:r>
      <w:r w:rsidR="00661C38" w:rsidRPr="00661C38">
        <w:rPr>
          <w:rFonts w:ascii="Sora" w:hAnsi="Sora" w:cs="Sora"/>
          <w:szCs w:val="22"/>
        </w:rPr>
        <w:t>.</w:t>
      </w:r>
    </w:p>
    <w:p w14:paraId="67B8FCD6" w14:textId="77777777" w:rsidR="00661C38" w:rsidRPr="00661C38" w:rsidRDefault="00661C38" w:rsidP="00661C38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</w:p>
    <w:p w14:paraId="7AEDD5A1" w14:textId="648DE9EB" w:rsidR="00083E54" w:rsidRDefault="00F81A69" w:rsidP="00661C38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  <w:r>
        <w:rPr>
          <w:rFonts w:ascii="Sora" w:hAnsi="Sora" w:cs="Sora"/>
          <w:szCs w:val="22"/>
        </w:rPr>
        <w:t>The study finds</w:t>
      </w:r>
      <w:r w:rsidR="00661C38">
        <w:rPr>
          <w:rFonts w:ascii="Sora" w:hAnsi="Sora" w:cs="Sora"/>
          <w:szCs w:val="22"/>
        </w:rPr>
        <w:t xml:space="preserve"> </w:t>
      </w:r>
      <w:r w:rsidR="00661C38" w:rsidRPr="00661C38">
        <w:rPr>
          <w:rFonts w:ascii="Sora" w:hAnsi="Sora" w:cs="Sora"/>
          <w:szCs w:val="22"/>
        </w:rPr>
        <w:t xml:space="preserve">that awareness of raw material risk has never been higher: </w:t>
      </w:r>
      <w:r w:rsidR="0005009F" w:rsidRPr="0005009F">
        <w:rPr>
          <w:rFonts w:ascii="Sora" w:hAnsi="Sora" w:cs="Sora"/>
          <w:szCs w:val="22"/>
        </w:rPr>
        <w:t>91% of businesses report an impact from geopolitical developments on the logistics and availability of raw materials, while 99% expect energy market volatility to affect their sourcing conditions over the next 12 months.</w:t>
      </w:r>
      <w:r w:rsidR="0005009F">
        <w:rPr>
          <w:rFonts w:ascii="Sora" w:hAnsi="Sora" w:cs="Sora"/>
          <w:szCs w:val="22"/>
        </w:rPr>
        <w:t xml:space="preserve"> </w:t>
      </w:r>
      <w:r w:rsidR="00661C38" w:rsidRPr="00661C38">
        <w:rPr>
          <w:rFonts w:ascii="Sora" w:hAnsi="Sora" w:cs="Sora"/>
          <w:szCs w:val="22"/>
        </w:rPr>
        <w:t xml:space="preserve">86% </w:t>
      </w:r>
      <w:r w:rsidR="00083E54">
        <w:rPr>
          <w:rFonts w:ascii="Sora" w:hAnsi="Sora" w:cs="Sora"/>
          <w:szCs w:val="22"/>
        </w:rPr>
        <w:t>presume</w:t>
      </w:r>
      <w:r w:rsidR="00083E54" w:rsidRPr="00661C38">
        <w:rPr>
          <w:rFonts w:ascii="Sora" w:hAnsi="Sora" w:cs="Sora"/>
          <w:szCs w:val="22"/>
        </w:rPr>
        <w:t xml:space="preserve"> </w:t>
      </w:r>
      <w:r w:rsidR="00661C38" w:rsidRPr="00661C38">
        <w:rPr>
          <w:rFonts w:ascii="Sora" w:hAnsi="Sora" w:cs="Sora"/>
          <w:szCs w:val="22"/>
        </w:rPr>
        <w:t xml:space="preserve">raw material prices to rise over the next 12 months – the highest level since 2020. </w:t>
      </w:r>
    </w:p>
    <w:p w14:paraId="36B1C514" w14:textId="77777777" w:rsidR="00083E54" w:rsidRDefault="00083E54" w:rsidP="00083E54">
      <w:pPr>
        <w:autoSpaceDE w:val="0"/>
        <w:autoSpaceDN w:val="0"/>
        <w:spacing w:line="276" w:lineRule="auto"/>
        <w:rPr>
          <w:rFonts w:ascii="Sora" w:hAnsi="Sora" w:cs="Sora"/>
          <w:b/>
          <w:szCs w:val="22"/>
        </w:rPr>
      </w:pPr>
    </w:p>
    <w:p w14:paraId="5DC56EF1" w14:textId="1DE00879" w:rsidR="00083E54" w:rsidRPr="00661C38" w:rsidRDefault="00083E54" w:rsidP="00083E54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  <w:r w:rsidRPr="00661C38">
        <w:rPr>
          <w:rFonts w:ascii="Sora" w:hAnsi="Sora" w:cs="Sora"/>
          <w:b/>
          <w:szCs w:val="22"/>
        </w:rPr>
        <w:t>Recognizing risk is not the same as managing it</w:t>
      </w:r>
    </w:p>
    <w:p w14:paraId="2CE25251" w14:textId="367F09D5" w:rsidR="00661C38" w:rsidRPr="00661C38" w:rsidRDefault="00661C38" w:rsidP="00661C38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  <w:r w:rsidRPr="00661C38">
        <w:rPr>
          <w:rFonts w:ascii="Sora" w:hAnsi="Sora" w:cs="Sora"/>
          <w:szCs w:val="22"/>
        </w:rPr>
        <w:t xml:space="preserve">Yet this awareness has not translated into a shift </w:t>
      </w:r>
      <w:r w:rsidR="009C674A">
        <w:rPr>
          <w:rFonts w:ascii="Sora" w:hAnsi="Sora" w:cs="Sora"/>
          <w:szCs w:val="22"/>
        </w:rPr>
        <w:t>of</w:t>
      </w:r>
      <w:r w:rsidRPr="00661C38">
        <w:rPr>
          <w:rFonts w:ascii="Sora" w:hAnsi="Sora" w:cs="Sora"/>
          <w:szCs w:val="22"/>
        </w:rPr>
        <w:t xml:space="preserve"> </w:t>
      </w:r>
      <w:r w:rsidR="009C674A">
        <w:rPr>
          <w:rFonts w:ascii="Sora" w:hAnsi="Sora" w:cs="Sora"/>
          <w:szCs w:val="22"/>
        </w:rPr>
        <w:t>procurement objectives</w:t>
      </w:r>
      <w:r w:rsidRPr="00661C38">
        <w:rPr>
          <w:rFonts w:ascii="Sora" w:hAnsi="Sora" w:cs="Sora"/>
          <w:szCs w:val="22"/>
        </w:rPr>
        <w:t xml:space="preserve">. 66% of businesses still prioritize price over supply resilience when sourcing raw materials, and only 7% </w:t>
      </w:r>
      <w:r w:rsidR="00083E54">
        <w:rPr>
          <w:rFonts w:ascii="Sora" w:hAnsi="Sora" w:cs="Sora"/>
          <w:szCs w:val="22"/>
        </w:rPr>
        <w:t xml:space="preserve">of participants </w:t>
      </w:r>
      <w:r w:rsidRPr="00661C38">
        <w:rPr>
          <w:rFonts w:ascii="Sora" w:hAnsi="Sora" w:cs="Sora"/>
          <w:szCs w:val="22"/>
        </w:rPr>
        <w:t xml:space="preserve">have fully </w:t>
      </w:r>
      <w:r w:rsidR="009C674A">
        <w:rPr>
          <w:rFonts w:ascii="Sora" w:hAnsi="Sora" w:cs="Sora"/>
          <w:szCs w:val="22"/>
        </w:rPr>
        <w:t>adopted</w:t>
      </w:r>
      <w:r w:rsidRPr="00661C38">
        <w:rPr>
          <w:rFonts w:ascii="Sora" w:hAnsi="Sora" w:cs="Sora"/>
          <w:szCs w:val="22"/>
        </w:rPr>
        <w:t xml:space="preserve"> AI </w:t>
      </w:r>
      <w:r w:rsidR="009C674A">
        <w:rPr>
          <w:rFonts w:ascii="Sora" w:hAnsi="Sora" w:cs="Sora"/>
          <w:szCs w:val="22"/>
        </w:rPr>
        <w:t xml:space="preserve">solutions </w:t>
      </w:r>
      <w:r w:rsidRPr="00661C38">
        <w:rPr>
          <w:rFonts w:ascii="Sora" w:hAnsi="Sora" w:cs="Sora"/>
          <w:szCs w:val="22"/>
        </w:rPr>
        <w:t>across their raw material management processes.</w:t>
      </w:r>
      <w:r w:rsidR="00083E54">
        <w:rPr>
          <w:rFonts w:ascii="Sora" w:hAnsi="Sora" w:cs="Sora"/>
          <w:szCs w:val="22"/>
        </w:rPr>
        <w:t xml:space="preserve"> </w:t>
      </w:r>
      <w:r w:rsidR="00F7780C" w:rsidRPr="00F7780C">
        <w:rPr>
          <w:rFonts w:ascii="Sora" w:hAnsi="Sora" w:cs="Sora"/>
          <w:szCs w:val="22"/>
        </w:rPr>
        <w:t xml:space="preserve">However, a regional comparison reveals just how widely AI implementation maturity varies. The APAC region is far ahead of </w:t>
      </w:r>
      <w:r w:rsidR="00F64B29">
        <w:rPr>
          <w:rFonts w:ascii="Sora" w:hAnsi="Sora" w:cs="Sora"/>
          <w:szCs w:val="22"/>
        </w:rPr>
        <w:t>Europe</w:t>
      </w:r>
      <w:r w:rsidR="00F7780C">
        <w:rPr>
          <w:rFonts w:ascii="Sora" w:hAnsi="Sora" w:cs="Sora"/>
          <w:szCs w:val="22"/>
        </w:rPr>
        <w:t xml:space="preserve"> – </w:t>
      </w:r>
      <w:r w:rsidR="00F7780C" w:rsidRPr="00F7780C">
        <w:rPr>
          <w:rFonts w:ascii="Sora" w:hAnsi="Sora" w:cs="Sora"/>
          <w:szCs w:val="22"/>
        </w:rPr>
        <w:t>50% of companies there are already at an advanced stage of AI maturity</w:t>
      </w:r>
      <w:r w:rsidR="00F7780C">
        <w:rPr>
          <w:rFonts w:ascii="Sora" w:hAnsi="Sora" w:cs="Sora"/>
          <w:szCs w:val="22"/>
        </w:rPr>
        <w:t xml:space="preserve">, </w:t>
      </w:r>
      <w:r w:rsidR="00F7780C" w:rsidRPr="00F7780C">
        <w:rPr>
          <w:rFonts w:ascii="Sora" w:hAnsi="Sora" w:cs="Sora"/>
          <w:szCs w:val="22"/>
        </w:rPr>
        <w:t xml:space="preserve">while </w:t>
      </w:r>
      <w:r w:rsidR="000C5C9A">
        <w:rPr>
          <w:rFonts w:ascii="Sora" w:hAnsi="Sora" w:cs="Sora"/>
          <w:szCs w:val="22"/>
        </w:rPr>
        <w:t xml:space="preserve">in </w:t>
      </w:r>
      <w:r w:rsidR="00F64B29">
        <w:rPr>
          <w:rFonts w:ascii="Sora" w:hAnsi="Sora" w:cs="Sora"/>
          <w:szCs w:val="22"/>
        </w:rPr>
        <w:t>Europe</w:t>
      </w:r>
      <w:r w:rsidR="00FF7056">
        <w:rPr>
          <w:rFonts w:ascii="Sora" w:hAnsi="Sora" w:cs="Sora"/>
          <w:szCs w:val="22"/>
        </w:rPr>
        <w:t>an countries</w:t>
      </w:r>
      <w:r w:rsidR="000C5C9A">
        <w:rPr>
          <w:rFonts w:ascii="Sora" w:hAnsi="Sora" w:cs="Sora"/>
          <w:szCs w:val="22"/>
        </w:rPr>
        <w:t xml:space="preserve"> only </w:t>
      </w:r>
      <w:r w:rsidR="0035331A">
        <w:rPr>
          <w:rFonts w:ascii="Sora" w:hAnsi="Sora" w:cs="Sora"/>
          <w:szCs w:val="22"/>
        </w:rPr>
        <w:t>10-30</w:t>
      </w:r>
      <w:r w:rsidR="000C5C9A">
        <w:rPr>
          <w:rFonts w:ascii="Sora" w:hAnsi="Sora" w:cs="Sora"/>
          <w:szCs w:val="22"/>
        </w:rPr>
        <w:t>% reach this level</w:t>
      </w:r>
      <w:r w:rsidR="00F7780C" w:rsidRPr="00F7780C">
        <w:rPr>
          <w:rFonts w:ascii="Sora" w:hAnsi="Sora" w:cs="Sora"/>
          <w:szCs w:val="22"/>
        </w:rPr>
        <w:t>.</w:t>
      </w:r>
    </w:p>
    <w:p w14:paraId="2C8495E5" w14:textId="79B26E07" w:rsidR="00661C38" w:rsidRDefault="00661C38" w:rsidP="00661C38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  <w:r w:rsidRPr="00661C38">
        <w:rPr>
          <w:rFonts w:ascii="Sora" w:hAnsi="Sora" w:cs="Sora"/>
          <w:szCs w:val="22"/>
        </w:rPr>
        <w:lastRenderedPageBreak/>
        <w:t>“The data tells a consistent story: businesses know exactly where the risks sit, but the way they buy hasn’t caught up with that knowledge,” says</w:t>
      </w:r>
      <w:r w:rsidR="007569DE">
        <w:rPr>
          <w:rFonts w:ascii="Sora" w:hAnsi="Sora" w:cs="Sora"/>
          <w:szCs w:val="22"/>
        </w:rPr>
        <w:t xml:space="preserve"> Justus Brinkmann, Principal </w:t>
      </w:r>
      <w:r w:rsidRPr="00661C38">
        <w:rPr>
          <w:rFonts w:ascii="Sora" w:hAnsi="Sora" w:cs="Sora"/>
          <w:szCs w:val="22"/>
        </w:rPr>
        <w:t xml:space="preserve">at Inverto. “As long as cost remains the primary </w:t>
      </w:r>
      <w:r w:rsidR="009C674A">
        <w:rPr>
          <w:rFonts w:ascii="Sora" w:hAnsi="Sora" w:cs="Sora"/>
          <w:szCs w:val="22"/>
        </w:rPr>
        <w:t>reference</w:t>
      </w:r>
      <w:r w:rsidR="009C674A" w:rsidRPr="00661C38">
        <w:rPr>
          <w:rFonts w:ascii="Sora" w:hAnsi="Sora" w:cs="Sora"/>
          <w:szCs w:val="22"/>
        </w:rPr>
        <w:t xml:space="preserve"> </w:t>
      </w:r>
      <w:r w:rsidRPr="00661C38">
        <w:rPr>
          <w:rFonts w:ascii="Sora" w:hAnsi="Sora" w:cs="Sora"/>
          <w:szCs w:val="22"/>
        </w:rPr>
        <w:t>for procurement decisions, resilience will keep losing out.”</w:t>
      </w:r>
    </w:p>
    <w:p w14:paraId="0A263D53" w14:textId="77777777" w:rsidR="00554FD9" w:rsidRDefault="00554FD9" w:rsidP="00554FD9">
      <w:pPr>
        <w:autoSpaceDE w:val="0"/>
        <w:autoSpaceDN w:val="0"/>
        <w:spacing w:line="276" w:lineRule="auto"/>
        <w:rPr>
          <w:rFonts w:ascii="Sora" w:hAnsi="Sora" w:cs="Sora"/>
          <w:b/>
          <w:szCs w:val="22"/>
        </w:rPr>
      </w:pPr>
    </w:p>
    <w:p w14:paraId="37DB800C" w14:textId="13DE0115" w:rsidR="00122FC2" w:rsidRDefault="00122FC2" w:rsidP="00554FD9">
      <w:pPr>
        <w:autoSpaceDE w:val="0"/>
        <w:autoSpaceDN w:val="0"/>
        <w:spacing w:line="276" w:lineRule="auto"/>
        <w:rPr>
          <w:rFonts w:ascii="Sora" w:hAnsi="Sora" w:cs="Sora"/>
          <w:b/>
          <w:szCs w:val="22"/>
        </w:rPr>
      </w:pPr>
      <w:r w:rsidRPr="00122FC2">
        <w:rPr>
          <w:rFonts w:ascii="Sora" w:hAnsi="Sora" w:cs="Sora"/>
          <w:b/>
          <w:szCs w:val="22"/>
        </w:rPr>
        <w:t>Industrial commodities under pressure</w:t>
      </w:r>
    </w:p>
    <w:p w14:paraId="359D0DD1" w14:textId="77777777" w:rsidR="00083E54" w:rsidRDefault="00FA30B1" w:rsidP="00FA30B1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  <w:r w:rsidRPr="00FA30B1">
        <w:rPr>
          <w:rFonts w:ascii="Sora" w:hAnsi="Sora" w:cs="Sora"/>
          <w:szCs w:val="22"/>
        </w:rPr>
        <w:t>Price expectations</w:t>
      </w:r>
      <w:r>
        <w:rPr>
          <w:rFonts w:ascii="Sora" w:hAnsi="Sora" w:cs="Sora"/>
          <w:szCs w:val="22"/>
        </w:rPr>
        <w:t xml:space="preserve"> on raw materials</w:t>
      </w:r>
      <w:r w:rsidRPr="00FA30B1">
        <w:rPr>
          <w:rFonts w:ascii="Sora" w:hAnsi="Sora" w:cs="Sora"/>
          <w:szCs w:val="22"/>
        </w:rPr>
        <w:t xml:space="preserve"> have reached a new high: 86% of respondents forecast increases over the next 12 months.</w:t>
      </w:r>
      <w:r>
        <w:rPr>
          <w:rFonts w:ascii="Sora" w:hAnsi="Sora" w:cs="Sora"/>
          <w:szCs w:val="22"/>
        </w:rPr>
        <w:t xml:space="preserve"> </w:t>
      </w:r>
      <w:r w:rsidR="00554FD9" w:rsidRPr="00554FD9">
        <w:rPr>
          <w:rFonts w:ascii="Sora" w:hAnsi="Sora" w:cs="Sora"/>
          <w:szCs w:val="22"/>
        </w:rPr>
        <w:t xml:space="preserve">Within this overall picture, expectations of price rises are not evenly </w:t>
      </w:r>
      <w:r>
        <w:rPr>
          <w:rFonts w:ascii="Sora" w:hAnsi="Sora" w:cs="Sora"/>
          <w:szCs w:val="22"/>
        </w:rPr>
        <w:t>distributed</w:t>
      </w:r>
      <w:r w:rsidR="00554FD9" w:rsidRPr="00554FD9">
        <w:rPr>
          <w:rFonts w:ascii="Sora" w:hAnsi="Sora" w:cs="Sora"/>
          <w:szCs w:val="22"/>
        </w:rPr>
        <w:t>. Crude oil is seen as the industrial commodity at greatest risk of price increases, cited by 28% of businesses,</w:t>
      </w:r>
      <w:r>
        <w:rPr>
          <w:rFonts w:ascii="Sora" w:hAnsi="Sora" w:cs="Sora"/>
          <w:szCs w:val="22"/>
        </w:rPr>
        <w:t xml:space="preserve"> representing an increase of 11 percentage points compared to 2025. Further price increases are expected for chemicals (23%), iron and steel (22%) and Aluminium (21%). </w:t>
      </w:r>
    </w:p>
    <w:p w14:paraId="2CB0DDFF" w14:textId="77777777" w:rsidR="00083E54" w:rsidRDefault="00083E54" w:rsidP="00FA30B1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</w:p>
    <w:p w14:paraId="108BFB51" w14:textId="6FBA074C" w:rsidR="006C102F" w:rsidRDefault="00083E54" w:rsidP="00FA30B1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  <w:r>
        <w:rPr>
          <w:rFonts w:ascii="Sora" w:hAnsi="Sora" w:cs="Sora"/>
          <w:szCs w:val="22"/>
        </w:rPr>
        <w:t>Participants assume p</w:t>
      </w:r>
      <w:r w:rsidR="006C102F" w:rsidRPr="006C102F">
        <w:rPr>
          <w:rFonts w:ascii="Sora" w:hAnsi="Sora" w:cs="Sora"/>
          <w:szCs w:val="22"/>
        </w:rPr>
        <w:t>rice increases also for agricultural commodities</w:t>
      </w:r>
      <w:r w:rsidR="006C102F">
        <w:rPr>
          <w:rFonts w:ascii="Sora" w:hAnsi="Sora" w:cs="Sora"/>
          <w:szCs w:val="22"/>
        </w:rPr>
        <w:t>. T</w:t>
      </w:r>
      <w:r w:rsidR="006C102F" w:rsidRPr="006C102F">
        <w:rPr>
          <w:rFonts w:ascii="Sora" w:hAnsi="Sora" w:cs="Sora"/>
          <w:szCs w:val="22"/>
        </w:rPr>
        <w:t>he greatest risks are seen in oils and fats</w:t>
      </w:r>
      <w:r w:rsidR="006C102F">
        <w:rPr>
          <w:rFonts w:ascii="Sora" w:hAnsi="Sora" w:cs="Sora"/>
          <w:szCs w:val="22"/>
        </w:rPr>
        <w:t xml:space="preserve">, with </w:t>
      </w:r>
      <w:r w:rsidR="006C102F" w:rsidRPr="006C102F">
        <w:rPr>
          <w:rFonts w:ascii="Sora" w:hAnsi="Sora" w:cs="Sora"/>
          <w:szCs w:val="22"/>
        </w:rPr>
        <w:t>3</w:t>
      </w:r>
      <w:r w:rsidR="006C102F">
        <w:rPr>
          <w:rFonts w:ascii="Sora" w:hAnsi="Sora" w:cs="Sora"/>
          <w:szCs w:val="22"/>
        </w:rPr>
        <w:t>7</w:t>
      </w:r>
      <w:r w:rsidR="006C102F" w:rsidRPr="006C102F">
        <w:rPr>
          <w:rFonts w:ascii="Sora" w:hAnsi="Sora" w:cs="Sora"/>
          <w:szCs w:val="22"/>
        </w:rPr>
        <w:t>% of respondents expect</w:t>
      </w:r>
      <w:r w:rsidR="006C102F">
        <w:rPr>
          <w:rFonts w:ascii="Sora" w:hAnsi="Sora" w:cs="Sora"/>
          <w:szCs w:val="22"/>
        </w:rPr>
        <w:t>ing</w:t>
      </w:r>
      <w:r w:rsidR="006C102F" w:rsidRPr="006C102F">
        <w:rPr>
          <w:rFonts w:ascii="Sora" w:hAnsi="Sora" w:cs="Sora"/>
          <w:szCs w:val="22"/>
        </w:rPr>
        <w:t xml:space="preserve"> prices to rise</w:t>
      </w:r>
      <w:r w:rsidR="006C102F">
        <w:rPr>
          <w:rFonts w:ascii="Sora" w:hAnsi="Sora" w:cs="Sora"/>
          <w:szCs w:val="22"/>
        </w:rPr>
        <w:t>,</w:t>
      </w:r>
      <w:r w:rsidR="006C102F" w:rsidRPr="006C102F">
        <w:rPr>
          <w:rFonts w:ascii="Sora" w:hAnsi="Sora" w:cs="Sora"/>
          <w:szCs w:val="22"/>
        </w:rPr>
        <w:t xml:space="preserve"> and in fertilizer-related inputs (31%).</w:t>
      </w:r>
    </w:p>
    <w:p w14:paraId="2FE7AC8C" w14:textId="77777777" w:rsidR="00083E54" w:rsidRDefault="00083E54" w:rsidP="00FA30B1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</w:p>
    <w:p w14:paraId="4A0C74B3" w14:textId="4EB6EF43" w:rsidR="00C5399F" w:rsidRDefault="00C5399F" w:rsidP="00FA30B1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  <w:r w:rsidRPr="00C5399F">
        <w:rPr>
          <w:rFonts w:ascii="Sora" w:hAnsi="Sora" w:cs="Sora"/>
          <w:szCs w:val="22"/>
        </w:rPr>
        <w:t xml:space="preserve">A similar pattern is evident </w:t>
      </w:r>
      <w:r w:rsidR="000C5C9A">
        <w:rPr>
          <w:rFonts w:ascii="Sora" w:hAnsi="Sora" w:cs="Sora"/>
          <w:szCs w:val="22"/>
        </w:rPr>
        <w:t>regarding supply security</w:t>
      </w:r>
      <w:r w:rsidRPr="00C5399F">
        <w:rPr>
          <w:rFonts w:ascii="Sora" w:hAnsi="Sora" w:cs="Sora"/>
          <w:szCs w:val="22"/>
        </w:rPr>
        <w:t xml:space="preserve">. The sharpest increase in </w:t>
      </w:r>
      <w:r w:rsidR="00411597">
        <w:rPr>
          <w:rFonts w:ascii="Sora" w:hAnsi="Sora" w:cs="Sora"/>
          <w:szCs w:val="22"/>
        </w:rPr>
        <w:t>presumed</w:t>
      </w:r>
      <w:r w:rsidR="00411597" w:rsidRPr="00C5399F">
        <w:rPr>
          <w:rFonts w:ascii="Sora" w:hAnsi="Sora" w:cs="Sora"/>
          <w:szCs w:val="22"/>
        </w:rPr>
        <w:t xml:space="preserve"> </w:t>
      </w:r>
      <w:r w:rsidRPr="00C5399F">
        <w:rPr>
          <w:rFonts w:ascii="Sora" w:hAnsi="Sora" w:cs="Sora"/>
          <w:szCs w:val="22"/>
        </w:rPr>
        <w:t xml:space="preserve">supply problems is seen in crude oil and power, rising by 15 and 13 percentage points respectively compared to 2025 (to 27% and 21% respectively), followed closely by iron and steel (up 9 percentage points to 20%). Furthermore, 31% of companies now anticipate shortages of fertiliser-related inputs and oils and fats. The expected supply risk for agricultural products has risen by a striking 24 percentage points compared to last year </w:t>
      </w:r>
      <w:r>
        <w:rPr>
          <w:rFonts w:ascii="Sora" w:hAnsi="Sora" w:cs="Sora"/>
          <w:szCs w:val="22"/>
        </w:rPr>
        <w:t>–</w:t>
      </w:r>
      <w:r w:rsidRPr="00C5399F">
        <w:rPr>
          <w:rFonts w:ascii="Sora" w:hAnsi="Sora" w:cs="Sora"/>
          <w:szCs w:val="22"/>
        </w:rPr>
        <w:t xml:space="preserve"> the </w:t>
      </w:r>
      <w:r>
        <w:rPr>
          <w:rFonts w:ascii="Sora" w:hAnsi="Sora" w:cs="Sora"/>
          <w:szCs w:val="22"/>
        </w:rPr>
        <w:t xml:space="preserve">largest </w:t>
      </w:r>
      <w:r w:rsidRPr="00C5399F">
        <w:rPr>
          <w:rFonts w:ascii="Sora" w:hAnsi="Sora" w:cs="Sora"/>
          <w:szCs w:val="22"/>
        </w:rPr>
        <w:t>shift in the survey.</w:t>
      </w:r>
    </w:p>
    <w:p w14:paraId="250918EC" w14:textId="77777777" w:rsidR="00661C38" w:rsidRPr="001815AC" w:rsidRDefault="00661C38" w:rsidP="00661C38">
      <w:pPr>
        <w:autoSpaceDE w:val="0"/>
        <w:autoSpaceDN w:val="0"/>
        <w:spacing w:line="276" w:lineRule="auto"/>
        <w:rPr>
          <w:rFonts w:ascii="Sora" w:hAnsi="Sora" w:cs="Sora"/>
          <w:szCs w:val="22"/>
          <w:lang w:val="en-US"/>
        </w:rPr>
      </w:pPr>
    </w:p>
    <w:p w14:paraId="75772BF5" w14:textId="1169DB27" w:rsidR="00661C38" w:rsidRPr="00661C38" w:rsidRDefault="00661C38" w:rsidP="00661C38">
      <w:pPr>
        <w:autoSpaceDE w:val="0"/>
        <w:autoSpaceDN w:val="0"/>
        <w:spacing w:line="276" w:lineRule="auto"/>
        <w:rPr>
          <w:rFonts w:ascii="Sora" w:hAnsi="Sora" w:cs="Sora"/>
          <w:b/>
          <w:szCs w:val="22"/>
        </w:rPr>
      </w:pPr>
      <w:r w:rsidRPr="00661C38">
        <w:rPr>
          <w:rFonts w:ascii="Sora" w:hAnsi="Sora" w:cs="Sora"/>
          <w:b/>
          <w:szCs w:val="22"/>
        </w:rPr>
        <w:t>Concentrated supplier risk compounds the problem</w:t>
      </w:r>
    </w:p>
    <w:p w14:paraId="2F749D2F" w14:textId="423CF99F" w:rsidR="0080586C" w:rsidRPr="00661C38" w:rsidRDefault="000C5C9A" w:rsidP="00661C38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  <w:r>
        <w:rPr>
          <w:rFonts w:ascii="Sora" w:hAnsi="Sora" w:cs="Sora"/>
          <w:szCs w:val="22"/>
        </w:rPr>
        <w:t xml:space="preserve">To </w:t>
      </w:r>
      <w:r w:rsidR="0080586C" w:rsidRPr="0080586C">
        <w:rPr>
          <w:rFonts w:ascii="Sora" w:hAnsi="Sora" w:cs="Sora"/>
          <w:szCs w:val="22"/>
        </w:rPr>
        <w:t>respond to mounting raw material risks</w:t>
      </w:r>
      <w:r>
        <w:rPr>
          <w:rFonts w:ascii="Sora" w:hAnsi="Sora" w:cs="Sora"/>
          <w:szCs w:val="22"/>
        </w:rPr>
        <w:t xml:space="preserve">, the vast majority of companies (98%) change their sourcing strategies: </w:t>
      </w:r>
      <w:r w:rsidR="0080586C" w:rsidRPr="0080586C">
        <w:rPr>
          <w:rFonts w:ascii="Sora" w:hAnsi="Sora" w:cs="Sora"/>
          <w:szCs w:val="22"/>
        </w:rPr>
        <w:t xml:space="preserve">Sourcing cooperations are the most common response, adopted by 48% of companies, followed by reinforced dual or multiple sourcing (46%) and nearshoring (41%) </w:t>
      </w:r>
      <w:r w:rsidR="0080586C">
        <w:rPr>
          <w:rFonts w:ascii="Sora" w:hAnsi="Sora" w:cs="Sora"/>
          <w:szCs w:val="22"/>
        </w:rPr>
        <w:t>–</w:t>
      </w:r>
      <w:r w:rsidR="0080586C" w:rsidRPr="0080586C">
        <w:rPr>
          <w:rFonts w:ascii="Sora" w:hAnsi="Sora" w:cs="Sora"/>
          <w:szCs w:val="22"/>
        </w:rPr>
        <w:t>only 2% reporting no change at all. The main drivers</w:t>
      </w:r>
      <w:r w:rsidR="0080586C">
        <w:rPr>
          <w:rFonts w:ascii="Sora" w:hAnsi="Sora" w:cs="Sora"/>
          <w:szCs w:val="22"/>
        </w:rPr>
        <w:t xml:space="preserve"> behind this transformation are </w:t>
      </w:r>
      <w:r w:rsidR="0080586C" w:rsidRPr="0080586C">
        <w:rPr>
          <w:rFonts w:ascii="Sora" w:hAnsi="Sora" w:cs="Sora"/>
          <w:szCs w:val="22"/>
        </w:rPr>
        <w:t>raw material shortages (40%), price risks (38%), and geopolitical risks (36%).</w:t>
      </w:r>
    </w:p>
    <w:p w14:paraId="333D75DE" w14:textId="558BE71B" w:rsidR="0080586C" w:rsidRDefault="0080586C" w:rsidP="0005009F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  <w:r w:rsidRPr="0080586C">
        <w:rPr>
          <w:rFonts w:ascii="Sora" w:hAnsi="Sora" w:cs="Sora"/>
          <w:szCs w:val="22"/>
        </w:rPr>
        <w:t xml:space="preserve">"Diversification is essential, but it only works if it's built on real transparency," Brinkmann explains. "A broad supplier list on paper can still hide a single point of failure underneath. Businesses need visibility </w:t>
      </w:r>
      <w:r w:rsidRPr="0080586C">
        <w:rPr>
          <w:rFonts w:ascii="Sora" w:hAnsi="Sora" w:cs="Sora"/>
          <w:szCs w:val="22"/>
        </w:rPr>
        <w:lastRenderedPageBreak/>
        <w:t>into where their suppliers are sourcing from — otherwise, diversification plans can look robust on the surface and still collapse at the first shock."</w:t>
      </w:r>
    </w:p>
    <w:p w14:paraId="6232F910" w14:textId="77777777" w:rsidR="000C5C9A" w:rsidRDefault="000C5C9A" w:rsidP="0005009F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</w:p>
    <w:p w14:paraId="0060CD1B" w14:textId="77E34DDA" w:rsidR="0005009F" w:rsidRPr="0005009F" w:rsidRDefault="0005009F" w:rsidP="0005009F">
      <w:pPr>
        <w:autoSpaceDE w:val="0"/>
        <w:autoSpaceDN w:val="0"/>
        <w:spacing w:line="276" w:lineRule="auto"/>
        <w:rPr>
          <w:rFonts w:ascii="Sora" w:hAnsi="Sora" w:cs="Sora"/>
          <w:b/>
          <w:szCs w:val="22"/>
        </w:rPr>
      </w:pPr>
      <w:r w:rsidRPr="0005009F">
        <w:rPr>
          <w:rFonts w:ascii="Sora" w:hAnsi="Sora" w:cs="Sora"/>
          <w:b/>
          <w:szCs w:val="22"/>
        </w:rPr>
        <w:t>Pricing strategies are shifting too</w:t>
      </w:r>
    </w:p>
    <w:p w14:paraId="2426C8AB" w14:textId="2F291391" w:rsidR="0005009F" w:rsidRDefault="00122FC2" w:rsidP="0005009F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  <w:r w:rsidRPr="00122FC2">
        <w:rPr>
          <w:rFonts w:ascii="Sora" w:hAnsi="Sora" w:cs="Sora"/>
          <w:szCs w:val="22"/>
        </w:rPr>
        <w:t xml:space="preserve">Businesses are also reconsidering how they negotiate prices for raw materials with their suppliers. The most widely used model is index-linked agreements with an escalation clause, which are now used by 31% of businesses. The sharpest rise in adoption </w:t>
      </w:r>
      <w:r w:rsidR="00526FDF">
        <w:rPr>
          <w:rFonts w:ascii="Sora" w:hAnsi="Sora" w:cs="Sora"/>
          <w:szCs w:val="22"/>
        </w:rPr>
        <w:t>occurred in</w:t>
      </w:r>
      <w:r w:rsidRPr="00122FC2">
        <w:rPr>
          <w:rFonts w:ascii="Sora" w:hAnsi="Sora" w:cs="Sora"/>
          <w:szCs w:val="22"/>
        </w:rPr>
        <w:t xml:space="preserve"> predefined price-increase adjustment agreements, which have risen by 10 percentage points to reach 27%, as companies look for more predictable ways to absorb volatility. Just 8% still purchas</w:t>
      </w:r>
      <w:r w:rsidR="000C5C9A">
        <w:rPr>
          <w:rFonts w:ascii="Sora" w:hAnsi="Sora" w:cs="Sora"/>
          <w:szCs w:val="22"/>
        </w:rPr>
        <w:t>e</w:t>
      </w:r>
      <w:r w:rsidRPr="00122FC2">
        <w:rPr>
          <w:rFonts w:ascii="Sora" w:hAnsi="Sora" w:cs="Sora"/>
          <w:szCs w:val="22"/>
        </w:rPr>
        <w:t xml:space="preserve"> based on daily spot market pricing.</w:t>
      </w:r>
    </w:p>
    <w:p w14:paraId="3C60B855" w14:textId="77777777" w:rsidR="00122FC2" w:rsidRPr="00661C38" w:rsidRDefault="00122FC2" w:rsidP="0005009F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</w:p>
    <w:p w14:paraId="5BEFA0CA" w14:textId="124F742A" w:rsidR="00661C38" w:rsidRPr="00661C38" w:rsidRDefault="00661C38" w:rsidP="00661C38">
      <w:pPr>
        <w:autoSpaceDE w:val="0"/>
        <w:autoSpaceDN w:val="0"/>
        <w:spacing w:line="276" w:lineRule="auto"/>
        <w:rPr>
          <w:rFonts w:ascii="Sora" w:hAnsi="Sora" w:cs="Sora"/>
          <w:b/>
          <w:szCs w:val="22"/>
        </w:rPr>
      </w:pPr>
      <w:r w:rsidRPr="00661C38">
        <w:rPr>
          <w:rFonts w:ascii="Sora" w:hAnsi="Sora" w:cs="Sora"/>
          <w:b/>
          <w:szCs w:val="22"/>
        </w:rPr>
        <w:t>Six priorities for turning risk awareness into resilience</w:t>
      </w:r>
    </w:p>
    <w:p w14:paraId="12F83AF4" w14:textId="716FA32D" w:rsidR="00661C38" w:rsidRPr="00661C38" w:rsidRDefault="00661C38" w:rsidP="00661C38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  <w:r w:rsidRPr="00661C38">
        <w:rPr>
          <w:rFonts w:ascii="Sora" w:hAnsi="Sora" w:cs="Sora"/>
          <w:szCs w:val="22"/>
        </w:rPr>
        <w:t xml:space="preserve">Based on the study’s findings, </w:t>
      </w:r>
      <w:r w:rsidR="000C5C9A">
        <w:rPr>
          <w:rFonts w:ascii="Sora" w:hAnsi="Sora" w:cs="Sora"/>
          <w:szCs w:val="22"/>
        </w:rPr>
        <w:t>Brinkmann</w:t>
      </w:r>
      <w:r w:rsidR="000C5C9A" w:rsidRPr="00661C38">
        <w:rPr>
          <w:rFonts w:ascii="Sora" w:hAnsi="Sora" w:cs="Sora"/>
          <w:szCs w:val="22"/>
        </w:rPr>
        <w:t xml:space="preserve"> </w:t>
      </w:r>
      <w:r w:rsidRPr="00661C38">
        <w:rPr>
          <w:rFonts w:ascii="Sora" w:hAnsi="Sora" w:cs="Sora"/>
          <w:szCs w:val="22"/>
        </w:rPr>
        <w:t xml:space="preserve">recommends six priorities to build lasting resilience into </w:t>
      </w:r>
      <w:r w:rsidR="006C539F">
        <w:rPr>
          <w:rFonts w:ascii="Sora" w:hAnsi="Sora" w:cs="Sora"/>
          <w:szCs w:val="22"/>
        </w:rPr>
        <w:t>businesses</w:t>
      </w:r>
      <w:r w:rsidR="006C539F" w:rsidRPr="00661C38">
        <w:rPr>
          <w:rFonts w:ascii="Sora" w:hAnsi="Sora" w:cs="Sora"/>
          <w:szCs w:val="22"/>
        </w:rPr>
        <w:t xml:space="preserve"> </w:t>
      </w:r>
      <w:r w:rsidRPr="00661C38">
        <w:rPr>
          <w:rFonts w:ascii="Sora" w:hAnsi="Sora" w:cs="Sora"/>
          <w:szCs w:val="22"/>
        </w:rPr>
        <w:t>raw material</w:t>
      </w:r>
      <w:r w:rsidR="006C539F">
        <w:rPr>
          <w:rFonts w:ascii="Sora" w:hAnsi="Sora" w:cs="Sora"/>
          <w:szCs w:val="22"/>
        </w:rPr>
        <w:t>s</w:t>
      </w:r>
      <w:r w:rsidRPr="00661C38">
        <w:rPr>
          <w:rFonts w:ascii="Sora" w:hAnsi="Sora" w:cs="Sora"/>
          <w:szCs w:val="22"/>
        </w:rPr>
        <w:t xml:space="preserve"> strategies:</w:t>
      </w:r>
    </w:p>
    <w:p w14:paraId="57FA66C0" w14:textId="33FFBEB6" w:rsidR="00661C38" w:rsidRPr="00661C38" w:rsidRDefault="00661C38" w:rsidP="00661C38">
      <w:pPr>
        <w:pStyle w:val="ListParagraph"/>
        <w:numPr>
          <w:ilvl w:val="0"/>
          <w:numId w:val="4"/>
        </w:numPr>
        <w:autoSpaceDE w:val="0"/>
        <w:autoSpaceDN w:val="0"/>
        <w:spacing w:line="276" w:lineRule="auto"/>
        <w:rPr>
          <w:rFonts w:ascii="Sora" w:hAnsi="Sora" w:cs="Sora"/>
          <w:szCs w:val="22"/>
        </w:rPr>
      </w:pPr>
      <w:r w:rsidRPr="00661C38">
        <w:rPr>
          <w:rFonts w:ascii="Sora" w:hAnsi="Sora" w:cs="Sora"/>
          <w:b/>
          <w:szCs w:val="22"/>
        </w:rPr>
        <w:t>Treat geopolitical and policy exposure as a structural planning factor</w:t>
      </w:r>
      <w:r w:rsidRPr="00661C38">
        <w:rPr>
          <w:rFonts w:ascii="Sora" w:hAnsi="Sora" w:cs="Sora"/>
          <w:szCs w:val="22"/>
        </w:rPr>
        <w:t>, not a one-time fix, through continuous risk monitoring and rapid-response protocols.</w:t>
      </w:r>
    </w:p>
    <w:p w14:paraId="3C44B1DC" w14:textId="5F4B4243" w:rsidR="00661C38" w:rsidRPr="00661C38" w:rsidRDefault="00661C38" w:rsidP="00661C38">
      <w:pPr>
        <w:pStyle w:val="ListParagraph"/>
        <w:numPr>
          <w:ilvl w:val="0"/>
          <w:numId w:val="4"/>
        </w:numPr>
        <w:autoSpaceDE w:val="0"/>
        <w:autoSpaceDN w:val="0"/>
        <w:spacing w:line="276" w:lineRule="auto"/>
        <w:rPr>
          <w:rFonts w:ascii="Sora" w:hAnsi="Sora" w:cs="Sora"/>
          <w:szCs w:val="22"/>
        </w:rPr>
      </w:pPr>
      <w:r w:rsidRPr="00661C38">
        <w:rPr>
          <w:rFonts w:ascii="Sora" w:hAnsi="Sora" w:cs="Sora"/>
          <w:b/>
          <w:szCs w:val="22"/>
        </w:rPr>
        <w:t>Turn sourcing diversification from reaction into deliberate design</w:t>
      </w:r>
      <w:r w:rsidRPr="00661C38">
        <w:rPr>
          <w:rFonts w:ascii="Sora" w:hAnsi="Sora" w:cs="Sora"/>
          <w:szCs w:val="22"/>
        </w:rPr>
        <w:t>, by building dual-sourcing footprints, qualifying alternative suppliers, and stress-testing networks.</w:t>
      </w:r>
    </w:p>
    <w:p w14:paraId="32682428" w14:textId="65A15857" w:rsidR="00661C38" w:rsidRPr="00661C38" w:rsidRDefault="00661C38" w:rsidP="00661C38">
      <w:pPr>
        <w:pStyle w:val="ListParagraph"/>
        <w:numPr>
          <w:ilvl w:val="0"/>
          <w:numId w:val="4"/>
        </w:numPr>
        <w:autoSpaceDE w:val="0"/>
        <w:autoSpaceDN w:val="0"/>
        <w:spacing w:line="276" w:lineRule="auto"/>
        <w:rPr>
          <w:rFonts w:ascii="Sora" w:hAnsi="Sora" w:cs="Sora"/>
          <w:szCs w:val="22"/>
        </w:rPr>
      </w:pPr>
      <w:r w:rsidRPr="00661C38">
        <w:rPr>
          <w:rFonts w:ascii="Sora" w:hAnsi="Sora" w:cs="Sora"/>
          <w:b/>
          <w:szCs w:val="22"/>
        </w:rPr>
        <w:t>Reward resilience, not just price</w:t>
      </w:r>
      <w:r w:rsidRPr="00661C38">
        <w:rPr>
          <w:rFonts w:ascii="Sora" w:hAnsi="Sora" w:cs="Sora"/>
          <w:szCs w:val="22"/>
        </w:rPr>
        <w:t>, by embedding resilience KPIs and total-cost metrics into procurement targets.</w:t>
      </w:r>
    </w:p>
    <w:p w14:paraId="603FE733" w14:textId="75110C12" w:rsidR="00661C38" w:rsidRPr="00661C38" w:rsidRDefault="00526FDF" w:rsidP="00661C38">
      <w:pPr>
        <w:pStyle w:val="ListParagraph"/>
        <w:numPr>
          <w:ilvl w:val="0"/>
          <w:numId w:val="4"/>
        </w:numPr>
        <w:autoSpaceDE w:val="0"/>
        <w:autoSpaceDN w:val="0"/>
        <w:spacing w:line="276" w:lineRule="auto"/>
        <w:rPr>
          <w:rFonts w:ascii="Sora" w:hAnsi="Sora" w:cs="Sora"/>
        </w:rPr>
      </w:pPr>
      <w:r>
        <w:rPr>
          <w:rFonts w:ascii="Sora" w:hAnsi="Sora" w:cs="Sora"/>
          <w:b/>
          <w:szCs w:val="22"/>
        </w:rPr>
        <w:t>Design flexibility in products from early stages on</w:t>
      </w:r>
      <w:r w:rsidR="00661C38" w:rsidRPr="00661C38">
        <w:rPr>
          <w:rFonts w:ascii="Sora" w:hAnsi="Sora" w:cs="Sora"/>
        </w:rPr>
        <w:t xml:space="preserve">, with procurement and engineering collaborating early on material substitution </w:t>
      </w:r>
      <w:r>
        <w:rPr>
          <w:rFonts w:ascii="Sora" w:hAnsi="Sora" w:cs="Sora"/>
        </w:rPr>
        <w:t xml:space="preserve">opportunities </w:t>
      </w:r>
      <w:r w:rsidR="00661C38" w:rsidRPr="00661C38">
        <w:rPr>
          <w:rFonts w:ascii="Sora" w:hAnsi="Sora" w:cs="Sora"/>
        </w:rPr>
        <w:t>and usage reduction.</w:t>
      </w:r>
    </w:p>
    <w:p w14:paraId="0E95731C" w14:textId="2287698F" w:rsidR="00661C38" w:rsidRPr="00661C38" w:rsidRDefault="00661C38" w:rsidP="00661C38">
      <w:pPr>
        <w:pStyle w:val="ListParagraph"/>
        <w:numPr>
          <w:ilvl w:val="0"/>
          <w:numId w:val="4"/>
        </w:numPr>
        <w:autoSpaceDE w:val="0"/>
        <w:autoSpaceDN w:val="0"/>
        <w:spacing w:line="276" w:lineRule="auto"/>
        <w:rPr>
          <w:rFonts w:ascii="Sora" w:hAnsi="Sora" w:cs="Sora"/>
        </w:rPr>
      </w:pPr>
      <w:r w:rsidRPr="00661C38">
        <w:rPr>
          <w:rFonts w:ascii="Sora" w:hAnsi="Sora" w:cs="Sora"/>
          <w:b/>
        </w:rPr>
        <w:t>Move from opportunistic buying to structured price management</w:t>
      </w:r>
      <w:r w:rsidRPr="00661C38">
        <w:rPr>
          <w:rFonts w:ascii="Sora" w:hAnsi="Sora" w:cs="Sora"/>
        </w:rPr>
        <w:t>, using a category-specific pricing playbook with index-linked and price-adjustment clauses.</w:t>
      </w:r>
    </w:p>
    <w:p w14:paraId="166DBC03" w14:textId="05DE5521" w:rsidR="00661C38" w:rsidRPr="00661C38" w:rsidRDefault="00661C38" w:rsidP="00661C38">
      <w:pPr>
        <w:pStyle w:val="ListParagraph"/>
        <w:numPr>
          <w:ilvl w:val="0"/>
          <w:numId w:val="4"/>
        </w:numPr>
        <w:autoSpaceDE w:val="0"/>
        <w:autoSpaceDN w:val="0"/>
        <w:spacing w:line="276" w:lineRule="auto"/>
        <w:rPr>
          <w:rFonts w:ascii="Sora" w:hAnsi="Sora" w:cs="Sora"/>
        </w:rPr>
      </w:pPr>
      <w:r w:rsidRPr="00661C38">
        <w:rPr>
          <w:rFonts w:ascii="Sora" w:hAnsi="Sora" w:cs="Sora"/>
          <w:b/>
        </w:rPr>
        <w:t>Scale AI by fixing the foundations</w:t>
      </w:r>
      <w:r w:rsidRPr="00661C38">
        <w:rPr>
          <w:rFonts w:ascii="Sora" w:hAnsi="Sora" w:cs="Sora"/>
        </w:rPr>
        <w:t>, not by adding more pilots – investing in trusted data, governance, cybersecurity and integration rather than</w:t>
      </w:r>
      <w:r w:rsidR="00526FDF">
        <w:rPr>
          <w:rFonts w:ascii="Sora" w:hAnsi="Sora" w:cs="Sora"/>
        </w:rPr>
        <w:t xml:space="preserve"> in</w:t>
      </w:r>
      <w:r w:rsidRPr="00661C38">
        <w:rPr>
          <w:rFonts w:ascii="Sora" w:hAnsi="Sora" w:cs="Sora"/>
        </w:rPr>
        <w:t xml:space="preserve"> isolated use cases.</w:t>
      </w:r>
    </w:p>
    <w:p w14:paraId="304897EA" w14:textId="77777777" w:rsidR="00416894" w:rsidRDefault="00416894" w:rsidP="00661C38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</w:p>
    <w:p w14:paraId="637322EB" w14:textId="611A3E51" w:rsidR="00661C38" w:rsidRPr="00C5399F" w:rsidRDefault="00416894" w:rsidP="00661C38">
      <w:pPr>
        <w:autoSpaceDE w:val="0"/>
        <w:autoSpaceDN w:val="0"/>
        <w:spacing w:line="276" w:lineRule="auto"/>
        <w:rPr>
          <w:rFonts w:ascii="Sora" w:hAnsi="Sora" w:cs="Sora"/>
          <w:szCs w:val="22"/>
        </w:rPr>
      </w:pPr>
      <w:r>
        <w:rPr>
          <w:rFonts w:ascii="Sora" w:hAnsi="Sora" w:cs="Sora"/>
          <w:szCs w:val="22"/>
        </w:rPr>
        <w:t>“</w:t>
      </w:r>
      <w:r w:rsidR="00C5399F" w:rsidRPr="00C5399F">
        <w:rPr>
          <w:rFonts w:ascii="Sora" w:hAnsi="Sora" w:cs="Sora"/>
          <w:szCs w:val="22"/>
        </w:rPr>
        <w:t>Uncertainty is directly translating into higher costs</w:t>
      </w:r>
      <w:r>
        <w:rPr>
          <w:rFonts w:ascii="Sora" w:hAnsi="Sora" w:cs="Sora"/>
          <w:szCs w:val="22"/>
        </w:rPr>
        <w:t xml:space="preserve">” </w:t>
      </w:r>
      <w:r w:rsidR="00C5399F" w:rsidRPr="00C5399F">
        <w:rPr>
          <w:rFonts w:ascii="Sora" w:hAnsi="Sora" w:cs="Sora"/>
          <w:szCs w:val="22"/>
        </w:rPr>
        <w:t xml:space="preserve">concludes Brinkmann. </w:t>
      </w:r>
      <w:r>
        <w:rPr>
          <w:rFonts w:ascii="Sora" w:hAnsi="Sora" w:cs="Sora"/>
          <w:szCs w:val="22"/>
        </w:rPr>
        <w:t>“</w:t>
      </w:r>
      <w:r w:rsidR="00C5399F" w:rsidRPr="00C5399F">
        <w:rPr>
          <w:rFonts w:ascii="Sora" w:hAnsi="Sora" w:cs="Sora"/>
          <w:szCs w:val="22"/>
        </w:rPr>
        <w:t xml:space="preserve">Businesses need to prepare for that now by talking to their suppliers early on and agreeing on solutions.” </w:t>
      </w:r>
    </w:p>
    <w:p w14:paraId="3E1989A3" w14:textId="77777777" w:rsidR="00C5399F" w:rsidRPr="00661C38" w:rsidRDefault="00C5399F" w:rsidP="00661C38">
      <w:pPr>
        <w:autoSpaceDE w:val="0"/>
        <w:autoSpaceDN w:val="0"/>
        <w:spacing w:line="276" w:lineRule="auto"/>
        <w:rPr>
          <w:rFonts w:ascii="Sora" w:hAnsi="Sora" w:cs="Sora"/>
        </w:rPr>
      </w:pPr>
    </w:p>
    <w:p w14:paraId="523CD339" w14:textId="189134DA" w:rsidR="00AD16BC" w:rsidRDefault="00C5399F" w:rsidP="00AD16BC">
      <w:pPr>
        <w:autoSpaceDE w:val="0"/>
        <w:autoSpaceDN w:val="0"/>
        <w:spacing w:line="276" w:lineRule="auto"/>
        <w:rPr>
          <w:rFonts w:ascii="Sora" w:hAnsi="Sora" w:cs="Sora"/>
          <w:b/>
          <w:bCs/>
        </w:rPr>
      </w:pPr>
      <w:r w:rsidRPr="00C5399F">
        <w:rPr>
          <w:rFonts w:ascii="Sora" w:hAnsi="Sora" w:cs="Sora"/>
          <w:b/>
          <w:bCs/>
        </w:rPr>
        <w:t>Study Design</w:t>
      </w:r>
    </w:p>
    <w:p w14:paraId="37926FA6" w14:textId="61D1FA4C" w:rsidR="00C5399F" w:rsidRPr="00416894" w:rsidRDefault="00416894" w:rsidP="00AD16BC">
      <w:pPr>
        <w:autoSpaceDE w:val="0"/>
        <w:autoSpaceDN w:val="0"/>
        <w:spacing w:line="276" w:lineRule="auto"/>
        <w:rPr>
          <w:rFonts w:ascii="Sora" w:hAnsi="Sora" w:cs="Sora"/>
          <w:b/>
          <w:bCs/>
        </w:rPr>
      </w:pPr>
      <w:r w:rsidRPr="00416894">
        <w:rPr>
          <w:rFonts w:ascii="Sora" w:hAnsi="Sora" w:cs="Sora"/>
          <w:szCs w:val="22"/>
        </w:rPr>
        <w:lastRenderedPageBreak/>
        <w:t xml:space="preserve">The 2026 Raw Materials Study is based on an online survey of 354 decision-makers, conducted between May and July 2026 across European marketsas well as the Asia/Pacific region. The majority of participants </w:t>
      </w:r>
      <w:r w:rsidR="007E4EB5">
        <w:rPr>
          <w:rFonts w:ascii="Sora" w:hAnsi="Sora" w:cs="Sora"/>
          <w:szCs w:val="22"/>
        </w:rPr>
        <w:t>works in</w:t>
      </w:r>
      <w:r w:rsidRPr="00416894">
        <w:rPr>
          <w:rFonts w:ascii="Sora" w:hAnsi="Sora" w:cs="Sora"/>
          <w:szCs w:val="22"/>
        </w:rPr>
        <w:t xml:space="preserve"> materials &amp; process industry, food &amp; beverages, and automotive &amp; mobility sectors. Full study results are available at </w:t>
      </w:r>
      <w:r w:rsidR="007E4EB5">
        <w:rPr>
          <w:rFonts w:ascii="Sora" w:hAnsi="Sora" w:cs="Sora"/>
          <w:szCs w:val="22"/>
        </w:rPr>
        <w:t xml:space="preserve">[link] </w:t>
      </w:r>
      <w:r w:rsidRPr="00416894">
        <w:rPr>
          <w:rFonts w:ascii="Sora" w:hAnsi="Sora" w:cs="Sora"/>
          <w:szCs w:val="22"/>
        </w:rPr>
        <w:t>www.inverto.com/raw-materials-2026.</w:t>
      </w:r>
    </w:p>
    <w:p w14:paraId="05FFC342" w14:textId="77777777" w:rsidR="00AD16BC" w:rsidRPr="00416894" w:rsidRDefault="00AD16BC" w:rsidP="00AD16BC">
      <w:pPr>
        <w:autoSpaceDE w:val="0"/>
        <w:autoSpaceDN w:val="0"/>
        <w:spacing w:line="276" w:lineRule="auto"/>
        <w:rPr>
          <w:rFonts w:ascii="Sora" w:hAnsi="Sora" w:cs="Sora"/>
          <w:b/>
          <w:bCs/>
        </w:rPr>
      </w:pPr>
    </w:p>
    <w:p w14:paraId="071473C0" w14:textId="02801058" w:rsidR="00D76433" w:rsidRPr="00AD16BC" w:rsidRDefault="00D76433" w:rsidP="00AD16BC">
      <w:pPr>
        <w:autoSpaceDE w:val="0"/>
        <w:autoSpaceDN w:val="0"/>
        <w:spacing w:line="276" w:lineRule="auto"/>
        <w:rPr>
          <w:rFonts w:ascii="Sora" w:hAnsi="Sora" w:cs="Sora"/>
          <w:i/>
          <w:sz w:val="18"/>
          <w:szCs w:val="20"/>
        </w:rPr>
      </w:pPr>
      <w:r w:rsidRPr="00661C38">
        <w:rPr>
          <w:rFonts w:ascii="Sora" w:hAnsi="Sora" w:cs="Sora"/>
          <w:b/>
          <w:bCs/>
        </w:rPr>
        <w:t>About Inverto</w:t>
      </w:r>
    </w:p>
    <w:p w14:paraId="36A94DDD" w14:textId="77777777" w:rsidR="00D76433" w:rsidRPr="00661C38" w:rsidRDefault="00D76433" w:rsidP="00D76433">
      <w:pPr>
        <w:autoSpaceDE w:val="0"/>
        <w:autoSpaceDN w:val="0"/>
        <w:rPr>
          <w:rFonts w:ascii="Sora" w:hAnsi="Sora" w:cs="Sora"/>
        </w:rPr>
      </w:pPr>
      <w:r w:rsidRPr="00661C38">
        <w:rPr>
          <w:rFonts w:ascii="Sora" w:hAnsi="Sora" w:cs="Sora"/>
        </w:rPr>
        <w:t>Inverto is a leading global consultancy specializing in strategic procurement and supply chain management. The consultancy goes beyond pure cost management to deliver business value and a competitive edge for its clients. Inverto transforms procurement and supply chain functions, enabling long-term success by fostering innovation, resilience, and sustainability.</w:t>
      </w:r>
    </w:p>
    <w:p w14:paraId="181CEB35" w14:textId="77777777" w:rsidR="00D76433" w:rsidRPr="00661C38" w:rsidRDefault="00D76433" w:rsidP="00D76433">
      <w:pPr>
        <w:autoSpaceDE w:val="0"/>
        <w:autoSpaceDN w:val="0"/>
        <w:rPr>
          <w:rFonts w:ascii="Sora" w:hAnsi="Sora" w:cs="Sora"/>
        </w:rPr>
      </w:pPr>
    </w:p>
    <w:p w14:paraId="28781484" w14:textId="30348750" w:rsidR="00D76433" w:rsidRPr="00661C38" w:rsidRDefault="00D76433" w:rsidP="00D76433">
      <w:pPr>
        <w:autoSpaceDE w:val="0"/>
        <w:autoSpaceDN w:val="0"/>
        <w:rPr>
          <w:rFonts w:ascii="Sora" w:hAnsi="Sora" w:cs="Sora"/>
        </w:rPr>
      </w:pPr>
      <w:r w:rsidRPr="00661C38">
        <w:rPr>
          <w:rFonts w:ascii="Sora" w:hAnsi="Sora" w:cs="Sora"/>
        </w:rPr>
        <w:t xml:space="preserve">Operating under the umbrella of BCG, Inverto expands BCGs extensive offerings with a comprehensive array of procurement optimization solutions. Inverto currently employs more than </w:t>
      </w:r>
      <w:r w:rsidR="002468FD" w:rsidRPr="00661C38">
        <w:rPr>
          <w:rFonts w:ascii="Sora" w:hAnsi="Sora" w:cs="Sora"/>
        </w:rPr>
        <w:t>7</w:t>
      </w:r>
      <w:r w:rsidRPr="00661C38">
        <w:rPr>
          <w:rFonts w:ascii="Sora" w:hAnsi="Sora" w:cs="Sora"/>
        </w:rPr>
        <w:t xml:space="preserve">00 experts across </w:t>
      </w:r>
      <w:r w:rsidR="003553B6">
        <w:rPr>
          <w:rFonts w:ascii="Sora" w:hAnsi="Sora" w:cs="Sora"/>
        </w:rPr>
        <w:t>four</w:t>
      </w:r>
      <w:r w:rsidRPr="00661C38">
        <w:rPr>
          <w:rFonts w:ascii="Sora" w:hAnsi="Sora" w:cs="Sora"/>
        </w:rPr>
        <w:t xml:space="preserve"> continents. Clients are globally renowned brands from all industries, as well as the world's leading private equity firms.</w:t>
      </w:r>
    </w:p>
    <w:p w14:paraId="21B7D1A3" w14:textId="77777777" w:rsidR="00D76433" w:rsidRPr="00661C38" w:rsidRDefault="00D76433" w:rsidP="00D76433">
      <w:pPr>
        <w:autoSpaceDE w:val="0"/>
        <w:autoSpaceDN w:val="0"/>
        <w:rPr>
          <w:rFonts w:ascii="Sora" w:hAnsi="Sora" w:cs="Sora"/>
        </w:rPr>
      </w:pPr>
    </w:p>
    <w:p w14:paraId="23F23135" w14:textId="77777777" w:rsidR="00D76433" w:rsidRPr="00661C38" w:rsidRDefault="00D76433" w:rsidP="00D76433">
      <w:pPr>
        <w:autoSpaceDE w:val="0"/>
        <w:autoSpaceDN w:val="0"/>
        <w:rPr>
          <w:rFonts w:ascii="Sora" w:hAnsi="Sora" w:cs="Sora"/>
        </w:rPr>
      </w:pPr>
      <w:r w:rsidRPr="00661C38">
        <w:rPr>
          <w:rFonts w:ascii="Sora" w:hAnsi="Sora" w:cs="Sora"/>
        </w:rPr>
        <w:t>For more information, please visit www.inverto.com</w:t>
      </w:r>
    </w:p>
    <w:p w14:paraId="1D5693AD" w14:textId="77777777" w:rsidR="00D76433" w:rsidRPr="00661C38" w:rsidRDefault="00D76433" w:rsidP="00D76433">
      <w:pPr>
        <w:ind w:right="-567"/>
        <w:rPr>
          <w:rFonts w:ascii="Sora" w:hAnsi="Sora" w:cs="Sora"/>
        </w:rPr>
      </w:pPr>
    </w:p>
    <w:p w14:paraId="1D6C0A06" w14:textId="77777777" w:rsidR="00D76433" w:rsidRPr="00661C38" w:rsidRDefault="00D76433" w:rsidP="00D76433">
      <w:pPr>
        <w:spacing w:line="276" w:lineRule="auto"/>
        <w:ind w:right="-567"/>
        <w:jc w:val="center"/>
        <w:rPr>
          <w:rFonts w:ascii="Sora" w:hAnsi="Sora" w:cs="Sora"/>
          <w:color w:val="808080" w:themeColor="background1" w:themeShade="80"/>
        </w:rPr>
      </w:pPr>
      <w:r w:rsidRPr="00661C38">
        <w:rPr>
          <w:rFonts w:ascii="Sora" w:hAnsi="Sora" w:cs="Sora"/>
          <w:b/>
          <w:bCs/>
          <w:iCs/>
          <w:szCs w:val="22"/>
        </w:rPr>
        <w:t>ENDS</w:t>
      </w:r>
      <w:bookmarkEnd w:id="1"/>
    </w:p>
    <w:p w14:paraId="1F43F0CE" w14:textId="77777777" w:rsidR="00FC21A2" w:rsidRPr="00661C38" w:rsidRDefault="00FC21A2" w:rsidP="008276C7">
      <w:pPr>
        <w:pStyle w:val="NormalWeb"/>
        <w:spacing w:before="0" w:beforeAutospacing="0" w:after="0" w:afterAutospacing="0" w:line="276" w:lineRule="auto"/>
        <w:ind w:right="-567"/>
        <w:textAlignment w:val="baseline"/>
        <w:rPr>
          <w:rFonts w:ascii="Sora" w:hAnsi="Sora" w:cs="Sora"/>
          <w:color w:val="000000"/>
          <w:sz w:val="22"/>
        </w:rPr>
      </w:pPr>
    </w:p>
    <w:p w14:paraId="29963B6D" w14:textId="04F48A9A" w:rsidR="00233B84" w:rsidRPr="00FC21A2" w:rsidRDefault="006064D1" w:rsidP="00FC21A2">
      <w:r w:rsidRPr="00661C38">
        <w:rPr>
          <w:rFonts w:cs="Arial"/>
          <w:noProof/>
          <w:color w:val="000000"/>
          <w:sz w:val="20"/>
          <w:szCs w:val="20"/>
          <w:shd w:val="clear" w:color="auto" w:fill="E6E6E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475E274" wp14:editId="0F230668">
                <wp:simplePos x="0" y="0"/>
                <wp:positionH relativeFrom="margin">
                  <wp:posOffset>0</wp:posOffset>
                </wp:positionH>
                <wp:positionV relativeFrom="paragraph">
                  <wp:posOffset>205740</wp:posOffset>
                </wp:positionV>
                <wp:extent cx="5838825" cy="1310640"/>
                <wp:effectExtent l="0" t="0" r="9525" b="3810"/>
                <wp:wrapSquare wrapText="bothSides"/>
                <wp:docPr id="1997849892" name="Text Box 1997849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1310640"/>
                        </a:xfrm>
                        <a:prstGeom prst="rect">
                          <a:avLst/>
                        </a:prstGeom>
                        <a:solidFill>
                          <a:srgbClr val="99D9D9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35081" w14:textId="77777777" w:rsidR="006064D1" w:rsidRPr="00661C38" w:rsidRDefault="006064D1" w:rsidP="006064D1">
                            <w:pPr>
                              <w:pStyle w:val="Footer"/>
                              <w:spacing w:line="360" w:lineRule="auto"/>
                              <w:rPr>
                                <w:rFonts w:ascii="Sora" w:hAnsi="Sora" w:cs="Sora"/>
                                <w:b/>
                                <w:szCs w:val="20"/>
                              </w:rPr>
                            </w:pPr>
                            <w:r w:rsidRPr="00661C38">
                              <w:rPr>
                                <w:rFonts w:ascii="Sora" w:hAnsi="Sora" w:cs="Sora"/>
                                <w:b/>
                                <w:szCs w:val="20"/>
                              </w:rPr>
                              <w:t>PRESS CONTACT</w:t>
                            </w:r>
                          </w:p>
                          <w:p w14:paraId="6E79A2E8" w14:textId="77777777" w:rsidR="006064D1" w:rsidRPr="00661C38" w:rsidRDefault="006064D1" w:rsidP="006064D1">
                            <w:pPr>
                              <w:pStyle w:val="Footer"/>
                              <w:spacing w:line="360" w:lineRule="auto"/>
                              <w:rPr>
                                <w:rFonts w:ascii="Sora" w:hAnsi="Sora" w:cs="Sora"/>
                                <w:szCs w:val="20"/>
                              </w:rPr>
                            </w:pPr>
                            <w:r w:rsidRPr="00661C38">
                              <w:rPr>
                                <w:rFonts w:ascii="Sora" w:hAnsi="Sora" w:cs="Sora"/>
                                <w:szCs w:val="20"/>
                              </w:rPr>
                              <w:t>Ina Ullrich • Press Relations Manager</w:t>
                            </w:r>
                          </w:p>
                          <w:p w14:paraId="4B6B974A" w14:textId="3BB3B3A6" w:rsidR="006064D1" w:rsidRPr="00661C38" w:rsidRDefault="006064D1" w:rsidP="006064D1">
                            <w:pPr>
                              <w:rPr>
                                <w:rFonts w:ascii="Sora" w:hAnsi="Sora" w:cs="Sora"/>
                                <w:szCs w:val="20"/>
                              </w:rPr>
                            </w:pPr>
                            <w:r w:rsidRPr="00661C38">
                              <w:rPr>
                                <w:rFonts w:ascii="Sora" w:hAnsi="Sora" w:cs="Sora"/>
                                <w:szCs w:val="20"/>
                              </w:rPr>
                              <w:t xml:space="preserve">Phone: + 49 162 1015 255 • Email: </w:t>
                            </w:r>
                            <w:hyperlink r:id="rId8" w:history="1">
                              <w:r w:rsidRPr="00661C38">
                                <w:rPr>
                                  <w:rStyle w:val="Hyperlink"/>
                                  <w:rFonts w:ascii="Sora" w:hAnsi="Sora" w:cs="Sora"/>
                                  <w:szCs w:val="20"/>
                                </w:rPr>
                                <w:t>iullrich@inverto.com</w:t>
                              </w:r>
                            </w:hyperlink>
                          </w:p>
                          <w:p w14:paraId="7997D935" w14:textId="77777777" w:rsidR="006064D1" w:rsidRPr="00661C38" w:rsidRDefault="006064D1" w:rsidP="006064D1">
                            <w:pPr>
                              <w:rPr>
                                <w:rFonts w:ascii="Sora" w:hAnsi="Sora" w:cs="Sora"/>
                                <w:szCs w:val="20"/>
                              </w:rPr>
                            </w:pPr>
                            <w:r w:rsidRPr="00661C38">
                              <w:rPr>
                                <w:rFonts w:ascii="Sora" w:hAnsi="Sora" w:cs="Sora"/>
                                <w:szCs w:val="20"/>
                              </w:rPr>
                              <w:t xml:space="preserve">Web: </w:t>
                            </w:r>
                            <w:hyperlink r:id="rId9" w:history="1">
                              <w:r w:rsidRPr="00661C38">
                                <w:rPr>
                                  <w:rStyle w:val="Hyperlink"/>
                                  <w:rFonts w:ascii="Sora" w:hAnsi="Sora" w:cs="Sora"/>
                                </w:rPr>
                                <w:t>www.inverto.com/en/</w:t>
                              </w:r>
                            </w:hyperlink>
                            <w:r w:rsidRPr="00661C38">
                              <w:rPr>
                                <w:rFonts w:ascii="Sora" w:hAnsi="Sora" w:cs="Sora"/>
                                <w:szCs w:val="20"/>
                              </w:rPr>
                              <w:t xml:space="preserve"> </w:t>
                            </w:r>
                          </w:p>
                          <w:p w14:paraId="5174B299" w14:textId="77777777" w:rsidR="006064D1" w:rsidRPr="00661C38" w:rsidRDefault="006064D1" w:rsidP="006064D1">
                            <w:pPr>
                              <w:rPr>
                                <w:rFonts w:ascii="Sora" w:hAnsi="Sora" w:cs="Sora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75E274" id="_x0000_t202" coordsize="21600,21600" o:spt="202" path="m,l,21600r21600,l21600,xe">
                <v:stroke joinstyle="miter"/>
                <v:path gradientshapeok="t" o:connecttype="rect"/>
              </v:shapetype>
              <v:shape id="Text Box 1997849892" o:spid="_x0000_s1026" type="#_x0000_t202" style="position:absolute;margin-left:0;margin-top:16.2pt;width:459.75pt;height:103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" fillcolor="#99d9d9" stroked="f">
                <v:textbox>
                  <w:txbxContent>
                    <w:p w14:paraId="31335081" w14:textId="77777777" w:rsidR="006064D1" w:rsidRPr="00661C38" w:rsidRDefault="006064D1" w:rsidP="006064D1">
                      <w:pPr>
                        <w:pStyle w:val="Footer"/>
                        <w:spacing w:line="360" w:lineRule="auto"/>
                        <w:rPr>
                          <w:rFonts w:ascii="Sora" w:hAnsi="Sora" w:cs="Sora"/>
                          <w:b/>
                          <w:szCs w:val="20"/>
                        </w:rPr>
                      </w:pPr>
                      <w:r w:rsidRPr="00661C38">
                        <w:rPr>
                          <w:rFonts w:ascii="Sora" w:hAnsi="Sora" w:cs="Sora"/>
                          <w:b/>
                          <w:szCs w:val="20"/>
                        </w:rPr>
                        <w:t>PRESS CONTACT</w:t>
                      </w:r>
                    </w:p>
                    <w:p w14:paraId="6E79A2E8" w14:textId="77777777" w:rsidR="006064D1" w:rsidRPr="00661C38" w:rsidRDefault="006064D1" w:rsidP="006064D1">
                      <w:pPr>
                        <w:pStyle w:val="Footer"/>
                        <w:spacing w:line="360" w:lineRule="auto"/>
                        <w:rPr>
                          <w:rFonts w:ascii="Sora" w:hAnsi="Sora" w:cs="Sora"/>
                          <w:szCs w:val="20"/>
                        </w:rPr>
                      </w:pPr>
                      <w:r w:rsidRPr="00661C38">
                        <w:rPr>
                          <w:rFonts w:ascii="Sora" w:hAnsi="Sora" w:cs="Sora"/>
                          <w:szCs w:val="20"/>
                        </w:rPr>
                        <w:t>Ina Ullrich • Press Relations Manager</w:t>
                      </w:r>
                    </w:p>
                    <w:p w14:paraId="4B6B974A" w14:textId="3BB3B3A6" w:rsidR="006064D1" w:rsidRPr="00661C38" w:rsidRDefault="006064D1" w:rsidP="006064D1">
                      <w:pPr>
                        <w:rPr>
                          <w:rFonts w:ascii="Sora" w:hAnsi="Sora" w:cs="Sora"/>
                          <w:szCs w:val="20"/>
                        </w:rPr>
                      </w:pPr>
                      <w:r w:rsidRPr="00661C38">
                        <w:rPr>
                          <w:rFonts w:ascii="Sora" w:hAnsi="Sora" w:cs="Sora"/>
                          <w:szCs w:val="20"/>
                        </w:rPr>
                        <w:t xml:space="preserve">Phone: + 49 162 1015 255 • Email: </w:t>
                      </w:r>
                      <w:hyperlink r:id="rId10" w:history="1">
                        <w:r w:rsidRPr="00661C38">
                          <w:rPr>
                            <w:rStyle w:val="Hyperlink"/>
                            <w:rFonts w:ascii="Sora" w:hAnsi="Sora" w:cs="Sora"/>
                            <w:szCs w:val="20"/>
                          </w:rPr>
                          <w:t>iullrich@inverto.com</w:t>
                        </w:r>
                      </w:hyperlink>
                    </w:p>
                    <w:p w14:paraId="7997D935" w14:textId="77777777" w:rsidR="006064D1" w:rsidRPr="00661C38" w:rsidRDefault="006064D1" w:rsidP="006064D1">
                      <w:pPr>
                        <w:rPr>
                          <w:rFonts w:ascii="Sora" w:hAnsi="Sora" w:cs="Sora"/>
                          <w:szCs w:val="20"/>
                        </w:rPr>
                      </w:pPr>
                      <w:r w:rsidRPr="00661C38">
                        <w:rPr>
                          <w:rFonts w:ascii="Sora" w:hAnsi="Sora" w:cs="Sora"/>
                          <w:szCs w:val="20"/>
                        </w:rPr>
                        <w:t xml:space="preserve">Web: </w:t>
                      </w:r>
                      <w:hyperlink r:id="rId11" w:history="1">
                        <w:r w:rsidRPr="00661C38">
                          <w:rPr>
                            <w:rStyle w:val="Hyperlink"/>
                            <w:rFonts w:ascii="Sora" w:hAnsi="Sora" w:cs="Sora"/>
                          </w:rPr>
                          <w:t>www.inverto.com/en/</w:t>
                        </w:r>
                      </w:hyperlink>
                      <w:r w:rsidRPr="00661C38">
                        <w:rPr>
                          <w:rFonts w:ascii="Sora" w:hAnsi="Sora" w:cs="Sora"/>
                          <w:szCs w:val="20"/>
                        </w:rPr>
                        <w:t xml:space="preserve"> </w:t>
                      </w:r>
                    </w:p>
                    <w:p w14:paraId="5174B299" w14:textId="77777777" w:rsidR="006064D1" w:rsidRPr="00661C38" w:rsidRDefault="006064D1" w:rsidP="006064D1">
                      <w:pPr>
                        <w:rPr>
                          <w:rFonts w:ascii="Sora" w:hAnsi="Sora" w:cs="Sora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233B84" w:rsidRPr="00FC21A2" w:rsidSect="00163D1E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2550" w:bottom="1021" w:left="1418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53B02" w14:textId="77777777" w:rsidR="00EB745F" w:rsidRPr="00661C38" w:rsidRDefault="00EB745F">
      <w:r w:rsidRPr="00661C38">
        <w:separator/>
      </w:r>
    </w:p>
  </w:endnote>
  <w:endnote w:type="continuationSeparator" w:id="0">
    <w:p w14:paraId="08DB9062" w14:textId="77777777" w:rsidR="00EB745F" w:rsidRPr="00661C38" w:rsidRDefault="00EB745F">
      <w:r w:rsidRPr="00661C3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ra">
    <w:altName w:val="Khmer UI"/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6D1FA" w14:textId="77777777" w:rsidR="002A0C43" w:rsidRPr="00661C38" w:rsidRDefault="002A0C43">
    <w:pPr>
      <w:pStyle w:val="Footer"/>
      <w:framePr w:wrap="around" w:vAnchor="text" w:hAnchor="margin" w:xAlign="right" w:y="1"/>
      <w:rPr>
        <w:rStyle w:val="PageNumber"/>
      </w:rPr>
    </w:pPr>
    <w:r w:rsidRPr="00661C38">
      <w:rPr>
        <w:rStyle w:val="PageNumber"/>
      </w:rPr>
      <w:fldChar w:fldCharType="begin"/>
    </w:r>
    <w:r w:rsidRPr="00661C38">
      <w:rPr>
        <w:rStyle w:val="PageNumber"/>
      </w:rPr>
      <w:instrText xml:space="preserve">PAGE  </w:instrText>
    </w:r>
    <w:r w:rsidRPr="00661C38">
      <w:rPr>
        <w:rStyle w:val="PageNumber"/>
      </w:rPr>
      <w:fldChar w:fldCharType="end"/>
    </w:r>
  </w:p>
  <w:p w14:paraId="67B24E5E" w14:textId="77777777" w:rsidR="002A0C43" w:rsidRPr="00661C38" w:rsidRDefault="002A0C4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B8ED" w14:textId="7B730BD8" w:rsidR="002A0C43" w:rsidRPr="00661C38" w:rsidRDefault="002A0C43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</w:rPr>
    </w:pPr>
    <w:r w:rsidRPr="00661C38">
      <w:rPr>
        <w:rStyle w:val="PageNumber"/>
        <w:rFonts w:ascii="Arial" w:hAnsi="Arial" w:cs="Arial"/>
        <w:sz w:val="16"/>
      </w:rPr>
      <w:fldChar w:fldCharType="begin"/>
    </w:r>
    <w:r w:rsidRPr="00661C38">
      <w:rPr>
        <w:rStyle w:val="PageNumber"/>
        <w:rFonts w:ascii="Arial" w:hAnsi="Arial" w:cs="Arial"/>
        <w:sz w:val="16"/>
      </w:rPr>
      <w:instrText xml:space="preserve">PAGE  </w:instrText>
    </w:r>
    <w:r w:rsidRPr="00661C38">
      <w:rPr>
        <w:rStyle w:val="PageNumber"/>
        <w:rFonts w:ascii="Arial" w:hAnsi="Arial" w:cs="Arial"/>
        <w:sz w:val="16"/>
      </w:rPr>
      <w:fldChar w:fldCharType="separate"/>
    </w:r>
    <w:r w:rsidR="00375ED0" w:rsidRPr="00661C38">
      <w:rPr>
        <w:rStyle w:val="PageNumber"/>
        <w:rFonts w:ascii="Arial" w:hAnsi="Arial" w:cs="Arial"/>
        <w:sz w:val="16"/>
      </w:rPr>
      <w:t>1</w:t>
    </w:r>
    <w:r w:rsidRPr="00661C38">
      <w:rPr>
        <w:rStyle w:val="PageNumber"/>
        <w:rFonts w:ascii="Arial" w:hAnsi="Arial" w:cs="Arial"/>
        <w:sz w:val="16"/>
      </w:rPr>
      <w:fldChar w:fldCharType="end"/>
    </w:r>
    <w:r w:rsidRPr="00661C38">
      <w:rPr>
        <w:rStyle w:val="PageNumber"/>
        <w:rFonts w:ascii="Arial" w:hAnsi="Arial" w:cs="Arial"/>
        <w:sz w:val="16"/>
      </w:rPr>
      <w:t>/</w:t>
    </w:r>
    <w:r w:rsidRPr="00661C38">
      <w:rPr>
        <w:rStyle w:val="PageNumber"/>
        <w:rFonts w:ascii="Arial" w:hAnsi="Arial" w:cs="Arial"/>
        <w:sz w:val="16"/>
      </w:rPr>
      <w:fldChar w:fldCharType="begin"/>
    </w:r>
    <w:r w:rsidRPr="00661C38">
      <w:rPr>
        <w:rStyle w:val="PageNumber"/>
        <w:rFonts w:ascii="Arial" w:hAnsi="Arial" w:cs="Arial"/>
        <w:sz w:val="16"/>
      </w:rPr>
      <w:instrText xml:space="preserve"> NUMPAGES </w:instrText>
    </w:r>
    <w:r w:rsidRPr="00661C38">
      <w:rPr>
        <w:rStyle w:val="PageNumber"/>
        <w:rFonts w:ascii="Arial" w:hAnsi="Arial" w:cs="Arial"/>
        <w:sz w:val="16"/>
      </w:rPr>
      <w:fldChar w:fldCharType="separate"/>
    </w:r>
    <w:r w:rsidR="00375ED0" w:rsidRPr="00661C38">
      <w:rPr>
        <w:rStyle w:val="PageNumber"/>
        <w:rFonts w:ascii="Arial" w:hAnsi="Arial" w:cs="Arial"/>
        <w:sz w:val="16"/>
      </w:rPr>
      <w:t>1</w:t>
    </w:r>
    <w:r w:rsidRPr="00661C38">
      <w:rPr>
        <w:rStyle w:val="PageNumber"/>
        <w:rFonts w:ascii="Arial" w:hAnsi="Arial" w:cs="Arial"/>
        <w:sz w:val="16"/>
      </w:rPr>
      <w:fldChar w:fldCharType="end"/>
    </w:r>
  </w:p>
  <w:p w14:paraId="172628E7" w14:textId="77777777" w:rsidR="002A0C43" w:rsidRPr="00661C38" w:rsidRDefault="002A0C43">
    <w:pPr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02179" w14:textId="77777777" w:rsidR="002A0C43" w:rsidRPr="00661C38" w:rsidRDefault="002A0C43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</w:rPr>
    </w:pPr>
    <w:r w:rsidRPr="00661C38">
      <w:rPr>
        <w:rStyle w:val="PageNumber"/>
        <w:rFonts w:ascii="Arial" w:hAnsi="Arial" w:cs="Arial"/>
        <w:sz w:val="16"/>
      </w:rPr>
      <w:fldChar w:fldCharType="begin"/>
    </w:r>
    <w:r w:rsidRPr="00661C38">
      <w:rPr>
        <w:rStyle w:val="PageNumber"/>
        <w:rFonts w:ascii="Arial" w:hAnsi="Arial" w:cs="Arial"/>
        <w:sz w:val="16"/>
      </w:rPr>
      <w:instrText xml:space="preserve"> PAGE </w:instrText>
    </w:r>
    <w:r w:rsidRPr="00661C38">
      <w:rPr>
        <w:rStyle w:val="PageNumber"/>
        <w:rFonts w:ascii="Arial" w:hAnsi="Arial" w:cs="Arial"/>
        <w:sz w:val="16"/>
      </w:rPr>
      <w:fldChar w:fldCharType="separate"/>
    </w:r>
    <w:r w:rsidRPr="00661C38">
      <w:rPr>
        <w:rStyle w:val="PageNumber"/>
        <w:rFonts w:ascii="Arial" w:hAnsi="Arial" w:cs="Arial"/>
        <w:sz w:val="16"/>
      </w:rPr>
      <w:t>1</w:t>
    </w:r>
    <w:r w:rsidRPr="00661C38">
      <w:rPr>
        <w:rStyle w:val="PageNumber"/>
        <w:rFonts w:ascii="Arial" w:hAnsi="Arial" w:cs="Arial"/>
        <w:sz w:val="16"/>
      </w:rPr>
      <w:fldChar w:fldCharType="end"/>
    </w:r>
    <w:r w:rsidRPr="00661C38">
      <w:rPr>
        <w:rStyle w:val="PageNumber"/>
        <w:rFonts w:ascii="Arial" w:hAnsi="Arial" w:cs="Arial"/>
        <w:sz w:val="16"/>
      </w:rPr>
      <w:t>/</w:t>
    </w:r>
    <w:r w:rsidRPr="00661C38">
      <w:rPr>
        <w:rStyle w:val="PageNumber"/>
        <w:rFonts w:ascii="Arial" w:hAnsi="Arial" w:cs="Arial"/>
        <w:sz w:val="16"/>
      </w:rPr>
      <w:fldChar w:fldCharType="begin"/>
    </w:r>
    <w:r w:rsidRPr="00661C38">
      <w:rPr>
        <w:rStyle w:val="PageNumber"/>
        <w:rFonts w:ascii="Arial" w:hAnsi="Arial" w:cs="Arial"/>
        <w:sz w:val="16"/>
      </w:rPr>
      <w:instrText xml:space="preserve"> NUMPAGES </w:instrText>
    </w:r>
    <w:r w:rsidRPr="00661C38">
      <w:rPr>
        <w:rStyle w:val="PageNumber"/>
        <w:rFonts w:ascii="Arial" w:hAnsi="Arial" w:cs="Arial"/>
        <w:sz w:val="16"/>
      </w:rPr>
      <w:fldChar w:fldCharType="separate"/>
    </w:r>
    <w:r w:rsidRPr="00661C38">
      <w:rPr>
        <w:rStyle w:val="PageNumber"/>
        <w:rFonts w:ascii="Arial" w:hAnsi="Arial" w:cs="Arial"/>
        <w:sz w:val="16"/>
      </w:rPr>
      <w:t>3</w:t>
    </w:r>
    <w:r w:rsidRPr="00661C38">
      <w:rPr>
        <w:rStyle w:val="PageNumber"/>
        <w:rFonts w:ascii="Arial" w:hAnsi="Arial" w:cs="Arial"/>
        <w:sz w:val="16"/>
      </w:rPr>
      <w:fldChar w:fldCharType="end"/>
    </w:r>
  </w:p>
  <w:p w14:paraId="7BE0FF89" w14:textId="77777777" w:rsidR="002A0C43" w:rsidRPr="00661C38" w:rsidRDefault="002A0C43">
    <w:pPr>
      <w:ind w:right="360"/>
      <w:rPr>
        <w:rFonts w:ascii="Arial" w:hAnsi="Arial" w:cs="Arial"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E607B" w14:textId="77777777" w:rsidR="00EB745F" w:rsidRPr="00661C38" w:rsidRDefault="00EB745F">
      <w:r w:rsidRPr="00661C38">
        <w:separator/>
      </w:r>
    </w:p>
  </w:footnote>
  <w:footnote w:type="continuationSeparator" w:id="0">
    <w:p w14:paraId="0E80141E" w14:textId="77777777" w:rsidR="00EB745F" w:rsidRPr="00661C38" w:rsidRDefault="00EB745F">
      <w:r w:rsidRPr="00661C3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BD91D" w14:textId="51CE6DB8" w:rsidR="00CA0135" w:rsidRPr="00661C38" w:rsidRDefault="00C1127F" w:rsidP="002E7263">
    <w:pPr>
      <w:pStyle w:val="Header"/>
      <w:ind w:right="-2268"/>
      <w:jc w:val="center"/>
    </w:pPr>
    <w:r w:rsidRPr="00661C38">
      <w:rPr>
        <w:noProof/>
      </w:rPr>
      <w:drawing>
        <wp:anchor distT="0" distB="0" distL="114300" distR="114300" simplePos="0" relativeHeight="251658240" behindDoc="0" locked="0" layoutInCell="1" allowOverlap="1" wp14:anchorId="77541783" wp14:editId="5B3A539F">
          <wp:simplePos x="0" y="0"/>
          <wp:positionH relativeFrom="page">
            <wp:align>right</wp:align>
          </wp:positionH>
          <wp:positionV relativeFrom="paragraph">
            <wp:posOffset>-231775</wp:posOffset>
          </wp:positionV>
          <wp:extent cx="3707130" cy="1182004"/>
          <wp:effectExtent l="0" t="0" r="0" b="0"/>
          <wp:wrapSquare wrapText="bothSides"/>
          <wp:docPr id="1303133750" name="Grafik 1" descr="Ein Bild, das Schrift, Grafiken, Logo,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3133750" name="Grafik 1" descr="Ein Bild, das Schrift, Grafiken, Logo, Text enthält.&#10;&#10;Automatisch generierte Beschreibu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07130" cy="11820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A0C43" w:rsidRPr="00661C38">
      <w:tab/>
    </w:r>
  </w:p>
  <w:p w14:paraId="7519B84D" w14:textId="77777777" w:rsidR="00CA0135" w:rsidRPr="00661C38" w:rsidRDefault="00CA0135" w:rsidP="002E7263">
    <w:pPr>
      <w:pStyle w:val="Header"/>
      <w:ind w:right="-2268"/>
      <w:jc w:val="center"/>
    </w:pPr>
  </w:p>
  <w:p w14:paraId="4D60ABA5" w14:textId="77777777" w:rsidR="00CA0135" w:rsidRPr="00661C38" w:rsidRDefault="00CA0135" w:rsidP="002E7263">
    <w:pPr>
      <w:pStyle w:val="Header"/>
      <w:ind w:right="-2268"/>
      <w:jc w:val="center"/>
    </w:pPr>
  </w:p>
  <w:p w14:paraId="426ED5CF" w14:textId="77777777" w:rsidR="00CA0135" w:rsidRPr="00661C38" w:rsidRDefault="00CA0135" w:rsidP="002E7263">
    <w:pPr>
      <w:pStyle w:val="Header"/>
      <w:ind w:right="-2268"/>
      <w:jc w:val="center"/>
    </w:pPr>
  </w:p>
  <w:p w14:paraId="1526682F" w14:textId="77777777" w:rsidR="00CA0135" w:rsidRPr="00661C38" w:rsidRDefault="00CA0135" w:rsidP="00C1127F">
    <w:pPr>
      <w:pStyle w:val="Header"/>
      <w:ind w:right="-2268"/>
    </w:pPr>
  </w:p>
  <w:p w14:paraId="4E643E77" w14:textId="77777777" w:rsidR="00C1127F" w:rsidRPr="00661C38" w:rsidRDefault="00C1127F" w:rsidP="00C1127F">
    <w:pPr>
      <w:pStyle w:val="Header"/>
      <w:ind w:right="-2268"/>
    </w:pPr>
  </w:p>
  <w:p w14:paraId="621981DF" w14:textId="66D1AEA9" w:rsidR="002A0C43" w:rsidRPr="00661C38" w:rsidRDefault="002A0C43" w:rsidP="002E7263">
    <w:pPr>
      <w:pStyle w:val="Header"/>
      <w:ind w:right="-2268"/>
      <w:jc w:val="center"/>
    </w:pPr>
    <w:r w:rsidRPr="00661C38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1D56" w14:textId="77777777" w:rsidR="002A0C43" w:rsidRPr="00661C38" w:rsidRDefault="002A0C43">
    <w:pPr>
      <w:pStyle w:val="Header"/>
      <w:ind w:right="-2858"/>
      <w:jc w:val="right"/>
      <w:rPr>
        <w:sz w:val="18"/>
        <w:szCs w:val="18"/>
      </w:rPr>
    </w:pPr>
  </w:p>
  <w:p w14:paraId="1B014602" w14:textId="77777777" w:rsidR="002A0C43" w:rsidRPr="00661C38" w:rsidRDefault="002A0C43">
    <w:pPr>
      <w:jc w:val="right"/>
      <w:rPr>
        <w:sz w:val="18"/>
        <w:szCs w:val="18"/>
      </w:rPr>
    </w:pPr>
    <w:r w:rsidRPr="00661C38">
      <w:rPr>
        <w:noProof/>
        <w:color w:val="0000FF"/>
      </w:rPr>
      <w:drawing>
        <wp:inline distT="0" distB="0" distL="0" distR="0" wp14:anchorId="2B533F50" wp14:editId="33B0B8C7">
          <wp:extent cx="1524000" cy="571500"/>
          <wp:effectExtent l="19050" t="0" r="0" b="0"/>
          <wp:docPr id="2" name="Grafik 1" descr="Logo INVERT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Logo INVERT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AE7856F" w14:textId="77777777" w:rsidR="002A0C43" w:rsidRPr="00661C38" w:rsidRDefault="002A0C43">
    <w:pPr>
      <w:rPr>
        <w:sz w:val="18"/>
        <w:szCs w:val="18"/>
      </w:rPr>
    </w:pPr>
  </w:p>
  <w:p w14:paraId="3EF6AA79" w14:textId="77777777" w:rsidR="002A0C43" w:rsidRPr="00661C38" w:rsidRDefault="002A0C43">
    <w:pPr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97FA9"/>
    <w:multiLevelType w:val="hybridMultilevel"/>
    <w:tmpl w:val="817E61B0"/>
    <w:lvl w:ilvl="0" w:tplc="5C2800D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102F96"/>
    <w:multiLevelType w:val="multilevel"/>
    <w:tmpl w:val="B852B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CA4B50"/>
    <w:multiLevelType w:val="hybridMultilevel"/>
    <w:tmpl w:val="1F6CF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C679CB"/>
    <w:multiLevelType w:val="hybridMultilevel"/>
    <w:tmpl w:val="4F5E466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7403825">
    <w:abstractNumId w:val="0"/>
  </w:num>
  <w:num w:numId="2" w16cid:durableId="1717851222">
    <w:abstractNumId w:val="2"/>
  </w:num>
  <w:num w:numId="3" w16cid:durableId="1771468690">
    <w:abstractNumId w:val="1"/>
  </w:num>
  <w:num w:numId="4" w16cid:durableId="6667102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E5F"/>
    <w:rsid w:val="000021B8"/>
    <w:rsid w:val="000023F7"/>
    <w:rsid w:val="000105D8"/>
    <w:rsid w:val="00011BB8"/>
    <w:rsid w:val="00013D7F"/>
    <w:rsid w:val="00015BD9"/>
    <w:rsid w:val="00016ECA"/>
    <w:rsid w:val="00027C91"/>
    <w:rsid w:val="00031A48"/>
    <w:rsid w:val="00036AC3"/>
    <w:rsid w:val="00040159"/>
    <w:rsid w:val="0004156C"/>
    <w:rsid w:val="00041F44"/>
    <w:rsid w:val="00045DE8"/>
    <w:rsid w:val="0005009F"/>
    <w:rsid w:val="0005248E"/>
    <w:rsid w:val="00053314"/>
    <w:rsid w:val="00053983"/>
    <w:rsid w:val="0005424A"/>
    <w:rsid w:val="00054697"/>
    <w:rsid w:val="00056D11"/>
    <w:rsid w:val="00062607"/>
    <w:rsid w:val="00062EEB"/>
    <w:rsid w:val="00073928"/>
    <w:rsid w:val="00076A70"/>
    <w:rsid w:val="0007717D"/>
    <w:rsid w:val="000817C5"/>
    <w:rsid w:val="00083246"/>
    <w:rsid w:val="00083E54"/>
    <w:rsid w:val="00087291"/>
    <w:rsid w:val="000A48DB"/>
    <w:rsid w:val="000A5D7D"/>
    <w:rsid w:val="000A617F"/>
    <w:rsid w:val="000B0142"/>
    <w:rsid w:val="000B14C9"/>
    <w:rsid w:val="000B2F44"/>
    <w:rsid w:val="000B3846"/>
    <w:rsid w:val="000B4DC2"/>
    <w:rsid w:val="000C411A"/>
    <w:rsid w:val="000C5C9A"/>
    <w:rsid w:val="000D2AD9"/>
    <w:rsid w:val="000D6F4B"/>
    <w:rsid w:val="000E0182"/>
    <w:rsid w:val="000E025C"/>
    <w:rsid w:val="000E1A33"/>
    <w:rsid w:val="000E2A4D"/>
    <w:rsid w:val="000E45DD"/>
    <w:rsid w:val="000E61EA"/>
    <w:rsid w:val="000F1078"/>
    <w:rsid w:val="000F4A64"/>
    <w:rsid w:val="00102F67"/>
    <w:rsid w:val="0010634F"/>
    <w:rsid w:val="00107698"/>
    <w:rsid w:val="0011617B"/>
    <w:rsid w:val="00117275"/>
    <w:rsid w:val="00120F0F"/>
    <w:rsid w:val="00122FC2"/>
    <w:rsid w:val="0012359B"/>
    <w:rsid w:val="00130E27"/>
    <w:rsid w:val="00132092"/>
    <w:rsid w:val="00136779"/>
    <w:rsid w:val="0014375F"/>
    <w:rsid w:val="00143FBF"/>
    <w:rsid w:val="00144119"/>
    <w:rsid w:val="00145394"/>
    <w:rsid w:val="00145CF8"/>
    <w:rsid w:val="0014764F"/>
    <w:rsid w:val="00153472"/>
    <w:rsid w:val="00153B18"/>
    <w:rsid w:val="001544E0"/>
    <w:rsid w:val="0015497C"/>
    <w:rsid w:val="00154ED0"/>
    <w:rsid w:val="00155975"/>
    <w:rsid w:val="00157780"/>
    <w:rsid w:val="00161095"/>
    <w:rsid w:val="00162754"/>
    <w:rsid w:val="00163D1E"/>
    <w:rsid w:val="0017158B"/>
    <w:rsid w:val="0017743C"/>
    <w:rsid w:val="001807DA"/>
    <w:rsid w:val="001815AC"/>
    <w:rsid w:val="001815FE"/>
    <w:rsid w:val="0018297B"/>
    <w:rsid w:val="001842B8"/>
    <w:rsid w:val="0018669E"/>
    <w:rsid w:val="001917EB"/>
    <w:rsid w:val="00194931"/>
    <w:rsid w:val="0019689B"/>
    <w:rsid w:val="0019795A"/>
    <w:rsid w:val="001A0352"/>
    <w:rsid w:val="001A0FCF"/>
    <w:rsid w:val="001A1254"/>
    <w:rsid w:val="001A4137"/>
    <w:rsid w:val="001A479E"/>
    <w:rsid w:val="001A484B"/>
    <w:rsid w:val="001A5010"/>
    <w:rsid w:val="001A6331"/>
    <w:rsid w:val="001A64BD"/>
    <w:rsid w:val="001A755D"/>
    <w:rsid w:val="001A76FF"/>
    <w:rsid w:val="001B017B"/>
    <w:rsid w:val="001B167A"/>
    <w:rsid w:val="001B24B3"/>
    <w:rsid w:val="001B27C1"/>
    <w:rsid w:val="001B5539"/>
    <w:rsid w:val="001B5988"/>
    <w:rsid w:val="001C0085"/>
    <w:rsid w:val="001C08D8"/>
    <w:rsid w:val="001C17D6"/>
    <w:rsid w:val="001C338C"/>
    <w:rsid w:val="001C482F"/>
    <w:rsid w:val="001D2345"/>
    <w:rsid w:val="001D5856"/>
    <w:rsid w:val="001D6817"/>
    <w:rsid w:val="001D6863"/>
    <w:rsid w:val="001F5EBB"/>
    <w:rsid w:val="001F7A15"/>
    <w:rsid w:val="002021B8"/>
    <w:rsid w:val="00202DA7"/>
    <w:rsid w:val="00202F54"/>
    <w:rsid w:val="00206928"/>
    <w:rsid w:val="00211B4A"/>
    <w:rsid w:val="002130FE"/>
    <w:rsid w:val="00213AF7"/>
    <w:rsid w:val="0021470B"/>
    <w:rsid w:val="00221135"/>
    <w:rsid w:val="00221A6D"/>
    <w:rsid w:val="00224193"/>
    <w:rsid w:val="00231C9A"/>
    <w:rsid w:val="00233B84"/>
    <w:rsid w:val="00233FBE"/>
    <w:rsid w:val="00234AF9"/>
    <w:rsid w:val="00237116"/>
    <w:rsid w:val="00244FBF"/>
    <w:rsid w:val="002457A5"/>
    <w:rsid w:val="0024591E"/>
    <w:rsid w:val="002466EB"/>
    <w:rsid w:val="002468FD"/>
    <w:rsid w:val="0025287D"/>
    <w:rsid w:val="002531F0"/>
    <w:rsid w:val="00253528"/>
    <w:rsid w:val="00261A59"/>
    <w:rsid w:val="00262A06"/>
    <w:rsid w:val="0026427B"/>
    <w:rsid w:val="002655CA"/>
    <w:rsid w:val="002700C8"/>
    <w:rsid w:val="002753B0"/>
    <w:rsid w:val="00275A28"/>
    <w:rsid w:val="002810BF"/>
    <w:rsid w:val="00282387"/>
    <w:rsid w:val="002A0C43"/>
    <w:rsid w:val="002A2FF8"/>
    <w:rsid w:val="002A4B4A"/>
    <w:rsid w:val="002A71CA"/>
    <w:rsid w:val="002B026F"/>
    <w:rsid w:val="002B064B"/>
    <w:rsid w:val="002B1DA4"/>
    <w:rsid w:val="002B455E"/>
    <w:rsid w:val="002B5295"/>
    <w:rsid w:val="002B6715"/>
    <w:rsid w:val="002B74A8"/>
    <w:rsid w:val="002C24B4"/>
    <w:rsid w:val="002C2ACB"/>
    <w:rsid w:val="002C619A"/>
    <w:rsid w:val="002C6383"/>
    <w:rsid w:val="002D3296"/>
    <w:rsid w:val="002D49FD"/>
    <w:rsid w:val="002D788D"/>
    <w:rsid w:val="002E25E5"/>
    <w:rsid w:val="002E4E68"/>
    <w:rsid w:val="002E658C"/>
    <w:rsid w:val="002E7263"/>
    <w:rsid w:val="002F0904"/>
    <w:rsid w:val="002F26AD"/>
    <w:rsid w:val="002F4B91"/>
    <w:rsid w:val="002F5816"/>
    <w:rsid w:val="002F6475"/>
    <w:rsid w:val="00301E1F"/>
    <w:rsid w:val="0030252E"/>
    <w:rsid w:val="003032FA"/>
    <w:rsid w:val="00307B37"/>
    <w:rsid w:val="00310FA3"/>
    <w:rsid w:val="00312ADF"/>
    <w:rsid w:val="00314A30"/>
    <w:rsid w:val="003210A8"/>
    <w:rsid w:val="003214A8"/>
    <w:rsid w:val="003224FB"/>
    <w:rsid w:val="00325596"/>
    <w:rsid w:val="00326060"/>
    <w:rsid w:val="003320CB"/>
    <w:rsid w:val="0034793D"/>
    <w:rsid w:val="00352AD8"/>
    <w:rsid w:val="0035331A"/>
    <w:rsid w:val="003553B6"/>
    <w:rsid w:val="003605E3"/>
    <w:rsid w:val="00360BD1"/>
    <w:rsid w:val="00360DA4"/>
    <w:rsid w:val="00362D6A"/>
    <w:rsid w:val="00364363"/>
    <w:rsid w:val="00366166"/>
    <w:rsid w:val="00366229"/>
    <w:rsid w:val="00366C63"/>
    <w:rsid w:val="00372C36"/>
    <w:rsid w:val="00375005"/>
    <w:rsid w:val="00375ED0"/>
    <w:rsid w:val="003764B8"/>
    <w:rsid w:val="00377D25"/>
    <w:rsid w:val="00380D6C"/>
    <w:rsid w:val="003825E4"/>
    <w:rsid w:val="00382CAE"/>
    <w:rsid w:val="00383DEE"/>
    <w:rsid w:val="00385FA0"/>
    <w:rsid w:val="00386153"/>
    <w:rsid w:val="00386F57"/>
    <w:rsid w:val="00387363"/>
    <w:rsid w:val="00393E20"/>
    <w:rsid w:val="003977B0"/>
    <w:rsid w:val="003A56B3"/>
    <w:rsid w:val="003A5DD8"/>
    <w:rsid w:val="003A6466"/>
    <w:rsid w:val="003A78D9"/>
    <w:rsid w:val="003A7D97"/>
    <w:rsid w:val="003B67B0"/>
    <w:rsid w:val="003B6C04"/>
    <w:rsid w:val="003C160F"/>
    <w:rsid w:val="003C1E99"/>
    <w:rsid w:val="003C4E21"/>
    <w:rsid w:val="003D1FEE"/>
    <w:rsid w:val="003D2271"/>
    <w:rsid w:val="003D3B77"/>
    <w:rsid w:val="003D600A"/>
    <w:rsid w:val="003E1330"/>
    <w:rsid w:val="003E2916"/>
    <w:rsid w:val="003E3FA5"/>
    <w:rsid w:val="003F0193"/>
    <w:rsid w:val="003F2451"/>
    <w:rsid w:val="003F37E7"/>
    <w:rsid w:val="003F4D7C"/>
    <w:rsid w:val="003F749F"/>
    <w:rsid w:val="004005A6"/>
    <w:rsid w:val="004017E2"/>
    <w:rsid w:val="00411597"/>
    <w:rsid w:val="0041403D"/>
    <w:rsid w:val="00415C1C"/>
    <w:rsid w:val="00416185"/>
    <w:rsid w:val="00416894"/>
    <w:rsid w:val="00420A2D"/>
    <w:rsid w:val="00424EE5"/>
    <w:rsid w:val="00425C3F"/>
    <w:rsid w:val="00426DDB"/>
    <w:rsid w:val="004277C3"/>
    <w:rsid w:val="004319DB"/>
    <w:rsid w:val="004333AB"/>
    <w:rsid w:val="0043652A"/>
    <w:rsid w:val="004365AE"/>
    <w:rsid w:val="00442E2D"/>
    <w:rsid w:val="00444E83"/>
    <w:rsid w:val="0044639A"/>
    <w:rsid w:val="00446C14"/>
    <w:rsid w:val="00450EFC"/>
    <w:rsid w:val="004619C4"/>
    <w:rsid w:val="004629C7"/>
    <w:rsid w:val="00462FA4"/>
    <w:rsid w:val="0046668D"/>
    <w:rsid w:val="00466FCF"/>
    <w:rsid w:val="00471DD5"/>
    <w:rsid w:val="0047306E"/>
    <w:rsid w:val="00475C90"/>
    <w:rsid w:val="004830D0"/>
    <w:rsid w:val="00490276"/>
    <w:rsid w:val="004974DE"/>
    <w:rsid w:val="00497861"/>
    <w:rsid w:val="004A3852"/>
    <w:rsid w:val="004A387A"/>
    <w:rsid w:val="004A3AD6"/>
    <w:rsid w:val="004A512B"/>
    <w:rsid w:val="004A7262"/>
    <w:rsid w:val="004B098C"/>
    <w:rsid w:val="004B15F8"/>
    <w:rsid w:val="004B1D02"/>
    <w:rsid w:val="004B28C2"/>
    <w:rsid w:val="004C04B0"/>
    <w:rsid w:val="004C0A10"/>
    <w:rsid w:val="004C26FF"/>
    <w:rsid w:val="004C340B"/>
    <w:rsid w:val="004C4A8B"/>
    <w:rsid w:val="004D16F6"/>
    <w:rsid w:val="004D453F"/>
    <w:rsid w:val="004D633F"/>
    <w:rsid w:val="004E0FE1"/>
    <w:rsid w:val="004E3113"/>
    <w:rsid w:val="004E3EF2"/>
    <w:rsid w:val="004E4B88"/>
    <w:rsid w:val="004F12BF"/>
    <w:rsid w:val="004F27E8"/>
    <w:rsid w:val="004F4358"/>
    <w:rsid w:val="004F62AF"/>
    <w:rsid w:val="004F633A"/>
    <w:rsid w:val="004F790A"/>
    <w:rsid w:val="00506C4E"/>
    <w:rsid w:val="005072E3"/>
    <w:rsid w:val="00507538"/>
    <w:rsid w:val="00511931"/>
    <w:rsid w:val="00511F79"/>
    <w:rsid w:val="00526FDF"/>
    <w:rsid w:val="005304D4"/>
    <w:rsid w:val="005339A8"/>
    <w:rsid w:val="00543BCE"/>
    <w:rsid w:val="00546ABC"/>
    <w:rsid w:val="00550E32"/>
    <w:rsid w:val="00554563"/>
    <w:rsid w:val="00554BAF"/>
    <w:rsid w:val="00554FD9"/>
    <w:rsid w:val="0056014F"/>
    <w:rsid w:val="0056181F"/>
    <w:rsid w:val="005645D5"/>
    <w:rsid w:val="00572EEA"/>
    <w:rsid w:val="0057322D"/>
    <w:rsid w:val="00575AA6"/>
    <w:rsid w:val="005839AF"/>
    <w:rsid w:val="00586FD5"/>
    <w:rsid w:val="00595D68"/>
    <w:rsid w:val="00596F52"/>
    <w:rsid w:val="005A1559"/>
    <w:rsid w:val="005B09F8"/>
    <w:rsid w:val="005B2368"/>
    <w:rsid w:val="005B269E"/>
    <w:rsid w:val="005B36C4"/>
    <w:rsid w:val="005C4434"/>
    <w:rsid w:val="005C4EB4"/>
    <w:rsid w:val="005C69EF"/>
    <w:rsid w:val="005C771A"/>
    <w:rsid w:val="005D0F6A"/>
    <w:rsid w:val="005D45E0"/>
    <w:rsid w:val="005D51A9"/>
    <w:rsid w:val="005E09A7"/>
    <w:rsid w:val="005F18D9"/>
    <w:rsid w:val="005F3B98"/>
    <w:rsid w:val="005F6121"/>
    <w:rsid w:val="005F647F"/>
    <w:rsid w:val="005F65CD"/>
    <w:rsid w:val="006010F5"/>
    <w:rsid w:val="00602071"/>
    <w:rsid w:val="006064D1"/>
    <w:rsid w:val="00606797"/>
    <w:rsid w:val="006077DB"/>
    <w:rsid w:val="00611146"/>
    <w:rsid w:val="00614FE4"/>
    <w:rsid w:val="006150EB"/>
    <w:rsid w:val="00615385"/>
    <w:rsid w:val="0062030A"/>
    <w:rsid w:val="00621AFD"/>
    <w:rsid w:val="006234B6"/>
    <w:rsid w:val="00631711"/>
    <w:rsid w:val="0063693B"/>
    <w:rsid w:val="00636BE6"/>
    <w:rsid w:val="006412D6"/>
    <w:rsid w:val="00646991"/>
    <w:rsid w:val="00646D71"/>
    <w:rsid w:val="006477CB"/>
    <w:rsid w:val="006504C4"/>
    <w:rsid w:val="00650C4E"/>
    <w:rsid w:val="00652730"/>
    <w:rsid w:val="00654FC6"/>
    <w:rsid w:val="00660881"/>
    <w:rsid w:val="0066150B"/>
    <w:rsid w:val="00661C38"/>
    <w:rsid w:val="00665977"/>
    <w:rsid w:val="00686F72"/>
    <w:rsid w:val="00695697"/>
    <w:rsid w:val="006A0FF0"/>
    <w:rsid w:val="006A4E0F"/>
    <w:rsid w:val="006A6B3A"/>
    <w:rsid w:val="006B227E"/>
    <w:rsid w:val="006B247C"/>
    <w:rsid w:val="006B6698"/>
    <w:rsid w:val="006C102F"/>
    <w:rsid w:val="006C2F9B"/>
    <w:rsid w:val="006C539F"/>
    <w:rsid w:val="006C66A8"/>
    <w:rsid w:val="006C6CDF"/>
    <w:rsid w:val="006E173A"/>
    <w:rsid w:val="006E5639"/>
    <w:rsid w:val="006E6991"/>
    <w:rsid w:val="006E6E64"/>
    <w:rsid w:val="006F3A79"/>
    <w:rsid w:val="006F46A1"/>
    <w:rsid w:val="006F7AA7"/>
    <w:rsid w:val="007019C1"/>
    <w:rsid w:val="00702234"/>
    <w:rsid w:val="00713D32"/>
    <w:rsid w:val="00715656"/>
    <w:rsid w:val="007160DE"/>
    <w:rsid w:val="0072057A"/>
    <w:rsid w:val="007268AB"/>
    <w:rsid w:val="007278DB"/>
    <w:rsid w:val="00733134"/>
    <w:rsid w:val="00734090"/>
    <w:rsid w:val="0073596B"/>
    <w:rsid w:val="00737027"/>
    <w:rsid w:val="00742A81"/>
    <w:rsid w:val="007456C5"/>
    <w:rsid w:val="00745B4D"/>
    <w:rsid w:val="00752BE7"/>
    <w:rsid w:val="00753DCF"/>
    <w:rsid w:val="00754D16"/>
    <w:rsid w:val="0075512B"/>
    <w:rsid w:val="007569DE"/>
    <w:rsid w:val="007573F5"/>
    <w:rsid w:val="00757CBE"/>
    <w:rsid w:val="007629B0"/>
    <w:rsid w:val="00764E03"/>
    <w:rsid w:val="00765735"/>
    <w:rsid w:val="00766199"/>
    <w:rsid w:val="0076775A"/>
    <w:rsid w:val="00773634"/>
    <w:rsid w:val="00773D72"/>
    <w:rsid w:val="007743A9"/>
    <w:rsid w:val="00776D20"/>
    <w:rsid w:val="00780871"/>
    <w:rsid w:val="0078189D"/>
    <w:rsid w:val="00783345"/>
    <w:rsid w:val="00783BA8"/>
    <w:rsid w:val="007853EF"/>
    <w:rsid w:val="007861EB"/>
    <w:rsid w:val="007932FA"/>
    <w:rsid w:val="00797058"/>
    <w:rsid w:val="007A1DC9"/>
    <w:rsid w:val="007A2557"/>
    <w:rsid w:val="007A38D4"/>
    <w:rsid w:val="007A4E5B"/>
    <w:rsid w:val="007A550E"/>
    <w:rsid w:val="007B1FF6"/>
    <w:rsid w:val="007B54B1"/>
    <w:rsid w:val="007B5FC8"/>
    <w:rsid w:val="007C00C3"/>
    <w:rsid w:val="007C19C1"/>
    <w:rsid w:val="007C3110"/>
    <w:rsid w:val="007C3FF0"/>
    <w:rsid w:val="007C4BE5"/>
    <w:rsid w:val="007C4D93"/>
    <w:rsid w:val="007C7AA4"/>
    <w:rsid w:val="007D0C51"/>
    <w:rsid w:val="007D47D8"/>
    <w:rsid w:val="007E2313"/>
    <w:rsid w:val="007E2719"/>
    <w:rsid w:val="007E4EB5"/>
    <w:rsid w:val="007E56CB"/>
    <w:rsid w:val="007E6F70"/>
    <w:rsid w:val="007E776D"/>
    <w:rsid w:val="007E797F"/>
    <w:rsid w:val="007F46DC"/>
    <w:rsid w:val="00802049"/>
    <w:rsid w:val="0080586C"/>
    <w:rsid w:val="00807F3D"/>
    <w:rsid w:val="0081220B"/>
    <w:rsid w:val="00814F8C"/>
    <w:rsid w:val="00815158"/>
    <w:rsid w:val="008158F0"/>
    <w:rsid w:val="008161AB"/>
    <w:rsid w:val="00816D20"/>
    <w:rsid w:val="008223FF"/>
    <w:rsid w:val="00822A1E"/>
    <w:rsid w:val="0082341A"/>
    <w:rsid w:val="008276C7"/>
    <w:rsid w:val="00833C34"/>
    <w:rsid w:val="00846B98"/>
    <w:rsid w:val="00852429"/>
    <w:rsid w:val="00852A23"/>
    <w:rsid w:val="00861527"/>
    <w:rsid w:val="008638B1"/>
    <w:rsid w:val="00863BBE"/>
    <w:rsid w:val="008643B7"/>
    <w:rsid w:val="0086755C"/>
    <w:rsid w:val="008717F2"/>
    <w:rsid w:val="0087373B"/>
    <w:rsid w:val="0087534E"/>
    <w:rsid w:val="008776F8"/>
    <w:rsid w:val="00882E32"/>
    <w:rsid w:val="00883DDB"/>
    <w:rsid w:val="00885C01"/>
    <w:rsid w:val="00890F34"/>
    <w:rsid w:val="00892235"/>
    <w:rsid w:val="00897B6C"/>
    <w:rsid w:val="00897E20"/>
    <w:rsid w:val="008A658D"/>
    <w:rsid w:val="008B2975"/>
    <w:rsid w:val="008B39B3"/>
    <w:rsid w:val="008B56BA"/>
    <w:rsid w:val="008B57DA"/>
    <w:rsid w:val="008C05F3"/>
    <w:rsid w:val="008C1CF1"/>
    <w:rsid w:val="008C49FF"/>
    <w:rsid w:val="008D3A0F"/>
    <w:rsid w:val="008D4E2A"/>
    <w:rsid w:val="008E54E7"/>
    <w:rsid w:val="008F3217"/>
    <w:rsid w:val="008F3DC5"/>
    <w:rsid w:val="008F6CCC"/>
    <w:rsid w:val="009065BF"/>
    <w:rsid w:val="00911D4C"/>
    <w:rsid w:val="00913BDC"/>
    <w:rsid w:val="00917A1C"/>
    <w:rsid w:val="0092002F"/>
    <w:rsid w:val="0092095B"/>
    <w:rsid w:val="00922CAF"/>
    <w:rsid w:val="00925935"/>
    <w:rsid w:val="009259AD"/>
    <w:rsid w:val="00926BF5"/>
    <w:rsid w:val="0092704D"/>
    <w:rsid w:val="009325A6"/>
    <w:rsid w:val="00935E78"/>
    <w:rsid w:val="00936708"/>
    <w:rsid w:val="00936FD1"/>
    <w:rsid w:val="009422CA"/>
    <w:rsid w:val="00942474"/>
    <w:rsid w:val="00943AF4"/>
    <w:rsid w:val="0094515D"/>
    <w:rsid w:val="00952365"/>
    <w:rsid w:val="00953436"/>
    <w:rsid w:val="00960EF9"/>
    <w:rsid w:val="00965B34"/>
    <w:rsid w:val="009674FB"/>
    <w:rsid w:val="0096780D"/>
    <w:rsid w:val="009678A7"/>
    <w:rsid w:val="009724B6"/>
    <w:rsid w:val="009730D0"/>
    <w:rsid w:val="00973B08"/>
    <w:rsid w:val="00974B69"/>
    <w:rsid w:val="00974DBD"/>
    <w:rsid w:val="00975F7B"/>
    <w:rsid w:val="00976019"/>
    <w:rsid w:val="009768C5"/>
    <w:rsid w:val="00991D9F"/>
    <w:rsid w:val="0099226C"/>
    <w:rsid w:val="00993541"/>
    <w:rsid w:val="009948A1"/>
    <w:rsid w:val="0099562A"/>
    <w:rsid w:val="0099612D"/>
    <w:rsid w:val="00996E5F"/>
    <w:rsid w:val="00996EFF"/>
    <w:rsid w:val="009B1CE4"/>
    <w:rsid w:val="009B6578"/>
    <w:rsid w:val="009C5DB4"/>
    <w:rsid w:val="009C674A"/>
    <w:rsid w:val="009C7073"/>
    <w:rsid w:val="009D3B3E"/>
    <w:rsid w:val="009E5E4E"/>
    <w:rsid w:val="009E6DD4"/>
    <w:rsid w:val="009E71DA"/>
    <w:rsid w:val="009F1694"/>
    <w:rsid w:val="009F201A"/>
    <w:rsid w:val="009F221F"/>
    <w:rsid w:val="009F2F17"/>
    <w:rsid w:val="00A0371B"/>
    <w:rsid w:val="00A03EB4"/>
    <w:rsid w:val="00A0605C"/>
    <w:rsid w:val="00A1336E"/>
    <w:rsid w:val="00A1633E"/>
    <w:rsid w:val="00A1651F"/>
    <w:rsid w:val="00A2127D"/>
    <w:rsid w:val="00A234CE"/>
    <w:rsid w:val="00A315C3"/>
    <w:rsid w:val="00A3244C"/>
    <w:rsid w:val="00A378AC"/>
    <w:rsid w:val="00A4036A"/>
    <w:rsid w:val="00A41274"/>
    <w:rsid w:val="00A44516"/>
    <w:rsid w:val="00A55258"/>
    <w:rsid w:val="00A57DBE"/>
    <w:rsid w:val="00A626C7"/>
    <w:rsid w:val="00A626E8"/>
    <w:rsid w:val="00A62B05"/>
    <w:rsid w:val="00A63C54"/>
    <w:rsid w:val="00A6441D"/>
    <w:rsid w:val="00A66D12"/>
    <w:rsid w:val="00A72BB4"/>
    <w:rsid w:val="00A77C49"/>
    <w:rsid w:val="00A8252D"/>
    <w:rsid w:val="00A87609"/>
    <w:rsid w:val="00A91488"/>
    <w:rsid w:val="00A91F0D"/>
    <w:rsid w:val="00A9729B"/>
    <w:rsid w:val="00AA05D3"/>
    <w:rsid w:val="00AA41D0"/>
    <w:rsid w:val="00AA4AD2"/>
    <w:rsid w:val="00AA57C9"/>
    <w:rsid w:val="00AB05AE"/>
    <w:rsid w:val="00AB0E5F"/>
    <w:rsid w:val="00AB28B8"/>
    <w:rsid w:val="00AB649C"/>
    <w:rsid w:val="00AC0656"/>
    <w:rsid w:val="00AC08E7"/>
    <w:rsid w:val="00AC0C74"/>
    <w:rsid w:val="00AC2527"/>
    <w:rsid w:val="00AC3400"/>
    <w:rsid w:val="00AC7B7F"/>
    <w:rsid w:val="00AD0FF5"/>
    <w:rsid w:val="00AD12F3"/>
    <w:rsid w:val="00AD16BC"/>
    <w:rsid w:val="00AD1BB4"/>
    <w:rsid w:val="00AE57EB"/>
    <w:rsid w:val="00AF248A"/>
    <w:rsid w:val="00B012D8"/>
    <w:rsid w:val="00B02430"/>
    <w:rsid w:val="00B034EB"/>
    <w:rsid w:val="00B03708"/>
    <w:rsid w:val="00B04B59"/>
    <w:rsid w:val="00B05584"/>
    <w:rsid w:val="00B05778"/>
    <w:rsid w:val="00B068D3"/>
    <w:rsid w:val="00B109DE"/>
    <w:rsid w:val="00B123E4"/>
    <w:rsid w:val="00B12C68"/>
    <w:rsid w:val="00B14956"/>
    <w:rsid w:val="00B21E31"/>
    <w:rsid w:val="00B21FB0"/>
    <w:rsid w:val="00B23E93"/>
    <w:rsid w:val="00B25075"/>
    <w:rsid w:val="00B27441"/>
    <w:rsid w:val="00B27C8E"/>
    <w:rsid w:val="00B356FB"/>
    <w:rsid w:val="00B35CC5"/>
    <w:rsid w:val="00B35DAC"/>
    <w:rsid w:val="00B406B9"/>
    <w:rsid w:val="00B40CAB"/>
    <w:rsid w:val="00B41D18"/>
    <w:rsid w:val="00B42461"/>
    <w:rsid w:val="00B438DD"/>
    <w:rsid w:val="00B46CF9"/>
    <w:rsid w:val="00B472F7"/>
    <w:rsid w:val="00B52297"/>
    <w:rsid w:val="00B62312"/>
    <w:rsid w:val="00B6351E"/>
    <w:rsid w:val="00B7751E"/>
    <w:rsid w:val="00B81E31"/>
    <w:rsid w:val="00B82D01"/>
    <w:rsid w:val="00B83C17"/>
    <w:rsid w:val="00B9094F"/>
    <w:rsid w:val="00B91182"/>
    <w:rsid w:val="00B9508C"/>
    <w:rsid w:val="00B96A0B"/>
    <w:rsid w:val="00B97B94"/>
    <w:rsid w:val="00BA07C3"/>
    <w:rsid w:val="00BA13C2"/>
    <w:rsid w:val="00BA157E"/>
    <w:rsid w:val="00BA1D60"/>
    <w:rsid w:val="00BA3134"/>
    <w:rsid w:val="00BA39BE"/>
    <w:rsid w:val="00BA3FB6"/>
    <w:rsid w:val="00BA6CFC"/>
    <w:rsid w:val="00BB4F22"/>
    <w:rsid w:val="00BB541F"/>
    <w:rsid w:val="00BC1400"/>
    <w:rsid w:val="00BC1EC5"/>
    <w:rsid w:val="00BC4999"/>
    <w:rsid w:val="00BC5B92"/>
    <w:rsid w:val="00BD091B"/>
    <w:rsid w:val="00BD1466"/>
    <w:rsid w:val="00BD3741"/>
    <w:rsid w:val="00BE2E3C"/>
    <w:rsid w:val="00BE6D47"/>
    <w:rsid w:val="00BE6F1F"/>
    <w:rsid w:val="00BF1063"/>
    <w:rsid w:val="00BF3031"/>
    <w:rsid w:val="00BF3BEF"/>
    <w:rsid w:val="00BF6771"/>
    <w:rsid w:val="00BF6E01"/>
    <w:rsid w:val="00BF74FF"/>
    <w:rsid w:val="00C05214"/>
    <w:rsid w:val="00C10B7C"/>
    <w:rsid w:val="00C1127F"/>
    <w:rsid w:val="00C12A4E"/>
    <w:rsid w:val="00C15407"/>
    <w:rsid w:val="00C15B29"/>
    <w:rsid w:val="00C20494"/>
    <w:rsid w:val="00C2252B"/>
    <w:rsid w:val="00C2258A"/>
    <w:rsid w:val="00C2605E"/>
    <w:rsid w:val="00C27F86"/>
    <w:rsid w:val="00C34D02"/>
    <w:rsid w:val="00C363A8"/>
    <w:rsid w:val="00C3780A"/>
    <w:rsid w:val="00C4260F"/>
    <w:rsid w:val="00C4322B"/>
    <w:rsid w:val="00C43B45"/>
    <w:rsid w:val="00C50D08"/>
    <w:rsid w:val="00C53988"/>
    <w:rsid w:val="00C5399F"/>
    <w:rsid w:val="00C5574F"/>
    <w:rsid w:val="00C56739"/>
    <w:rsid w:val="00C61D51"/>
    <w:rsid w:val="00C6379D"/>
    <w:rsid w:val="00C65597"/>
    <w:rsid w:val="00C66631"/>
    <w:rsid w:val="00C67897"/>
    <w:rsid w:val="00C708D9"/>
    <w:rsid w:val="00C70E37"/>
    <w:rsid w:val="00C73E5F"/>
    <w:rsid w:val="00C75914"/>
    <w:rsid w:val="00C75E4B"/>
    <w:rsid w:val="00C81534"/>
    <w:rsid w:val="00C8313B"/>
    <w:rsid w:val="00C8473B"/>
    <w:rsid w:val="00C9413C"/>
    <w:rsid w:val="00C95D3B"/>
    <w:rsid w:val="00CA0135"/>
    <w:rsid w:val="00CA02F5"/>
    <w:rsid w:val="00CA4C2E"/>
    <w:rsid w:val="00CA6F7C"/>
    <w:rsid w:val="00CB6315"/>
    <w:rsid w:val="00CB64CF"/>
    <w:rsid w:val="00CC0121"/>
    <w:rsid w:val="00CC03B0"/>
    <w:rsid w:val="00CC1131"/>
    <w:rsid w:val="00CC258F"/>
    <w:rsid w:val="00CC66D1"/>
    <w:rsid w:val="00CC7E43"/>
    <w:rsid w:val="00CD188D"/>
    <w:rsid w:val="00CD4B72"/>
    <w:rsid w:val="00CD74E1"/>
    <w:rsid w:val="00CE1305"/>
    <w:rsid w:val="00CE3120"/>
    <w:rsid w:val="00CE3B49"/>
    <w:rsid w:val="00CE5786"/>
    <w:rsid w:val="00CF00E6"/>
    <w:rsid w:val="00CF09A4"/>
    <w:rsid w:val="00CF3D55"/>
    <w:rsid w:val="00CF5B79"/>
    <w:rsid w:val="00CF5DDF"/>
    <w:rsid w:val="00CF7A6B"/>
    <w:rsid w:val="00D00614"/>
    <w:rsid w:val="00D037D2"/>
    <w:rsid w:val="00D040CE"/>
    <w:rsid w:val="00D06356"/>
    <w:rsid w:val="00D06F6B"/>
    <w:rsid w:val="00D07529"/>
    <w:rsid w:val="00D122E7"/>
    <w:rsid w:val="00D17AEA"/>
    <w:rsid w:val="00D20BF9"/>
    <w:rsid w:val="00D21382"/>
    <w:rsid w:val="00D21FF0"/>
    <w:rsid w:val="00D22925"/>
    <w:rsid w:val="00D23EEE"/>
    <w:rsid w:val="00D306AB"/>
    <w:rsid w:val="00D32611"/>
    <w:rsid w:val="00D33F25"/>
    <w:rsid w:val="00D370C8"/>
    <w:rsid w:val="00D37453"/>
    <w:rsid w:val="00D417CC"/>
    <w:rsid w:val="00D45D4E"/>
    <w:rsid w:val="00D50200"/>
    <w:rsid w:val="00D505BB"/>
    <w:rsid w:val="00D50DBD"/>
    <w:rsid w:val="00D51F78"/>
    <w:rsid w:val="00D5361B"/>
    <w:rsid w:val="00D61228"/>
    <w:rsid w:val="00D672F7"/>
    <w:rsid w:val="00D715BB"/>
    <w:rsid w:val="00D72F48"/>
    <w:rsid w:val="00D73138"/>
    <w:rsid w:val="00D745AB"/>
    <w:rsid w:val="00D75A73"/>
    <w:rsid w:val="00D76433"/>
    <w:rsid w:val="00D77637"/>
    <w:rsid w:val="00D8384B"/>
    <w:rsid w:val="00DA0131"/>
    <w:rsid w:val="00DA1AA7"/>
    <w:rsid w:val="00DA26FC"/>
    <w:rsid w:val="00DA28FE"/>
    <w:rsid w:val="00DA3A38"/>
    <w:rsid w:val="00DB0CC8"/>
    <w:rsid w:val="00DB0D79"/>
    <w:rsid w:val="00DB1510"/>
    <w:rsid w:val="00DB5B98"/>
    <w:rsid w:val="00DC166E"/>
    <w:rsid w:val="00DC472F"/>
    <w:rsid w:val="00DC55A5"/>
    <w:rsid w:val="00DD00B5"/>
    <w:rsid w:val="00DD0743"/>
    <w:rsid w:val="00DD0A3B"/>
    <w:rsid w:val="00DD1D05"/>
    <w:rsid w:val="00DD34EE"/>
    <w:rsid w:val="00DD46B9"/>
    <w:rsid w:val="00DD49F3"/>
    <w:rsid w:val="00DD6CA8"/>
    <w:rsid w:val="00DE04BC"/>
    <w:rsid w:val="00DE4AE3"/>
    <w:rsid w:val="00DE577B"/>
    <w:rsid w:val="00DE7872"/>
    <w:rsid w:val="00DE7933"/>
    <w:rsid w:val="00DF16A6"/>
    <w:rsid w:val="00DF675F"/>
    <w:rsid w:val="00E02E7E"/>
    <w:rsid w:val="00E05B43"/>
    <w:rsid w:val="00E06F5C"/>
    <w:rsid w:val="00E07E17"/>
    <w:rsid w:val="00E10A75"/>
    <w:rsid w:val="00E11496"/>
    <w:rsid w:val="00E12C76"/>
    <w:rsid w:val="00E13977"/>
    <w:rsid w:val="00E13DA7"/>
    <w:rsid w:val="00E243EA"/>
    <w:rsid w:val="00E37CD0"/>
    <w:rsid w:val="00E41FBD"/>
    <w:rsid w:val="00E420B2"/>
    <w:rsid w:val="00E426E4"/>
    <w:rsid w:val="00E44F23"/>
    <w:rsid w:val="00E460E7"/>
    <w:rsid w:val="00E46F6B"/>
    <w:rsid w:val="00E534E5"/>
    <w:rsid w:val="00E534E6"/>
    <w:rsid w:val="00E5504C"/>
    <w:rsid w:val="00E60E3B"/>
    <w:rsid w:val="00E64261"/>
    <w:rsid w:val="00E6472A"/>
    <w:rsid w:val="00E708B2"/>
    <w:rsid w:val="00E715DE"/>
    <w:rsid w:val="00E74AB7"/>
    <w:rsid w:val="00E815B3"/>
    <w:rsid w:val="00E82BAD"/>
    <w:rsid w:val="00E9096D"/>
    <w:rsid w:val="00E93384"/>
    <w:rsid w:val="00E96943"/>
    <w:rsid w:val="00EA4CD4"/>
    <w:rsid w:val="00EB0170"/>
    <w:rsid w:val="00EB745F"/>
    <w:rsid w:val="00EC07B2"/>
    <w:rsid w:val="00EC1D3F"/>
    <w:rsid w:val="00EC264F"/>
    <w:rsid w:val="00EC27B2"/>
    <w:rsid w:val="00EC2B0E"/>
    <w:rsid w:val="00EC2D62"/>
    <w:rsid w:val="00EC55AA"/>
    <w:rsid w:val="00EC611C"/>
    <w:rsid w:val="00ED09D9"/>
    <w:rsid w:val="00ED11D1"/>
    <w:rsid w:val="00ED2F80"/>
    <w:rsid w:val="00ED38A8"/>
    <w:rsid w:val="00ED3E00"/>
    <w:rsid w:val="00ED6628"/>
    <w:rsid w:val="00EE22EF"/>
    <w:rsid w:val="00EE4BF0"/>
    <w:rsid w:val="00EE735D"/>
    <w:rsid w:val="00EF4C9F"/>
    <w:rsid w:val="00EF4CD5"/>
    <w:rsid w:val="00EF5A63"/>
    <w:rsid w:val="00F07A5F"/>
    <w:rsid w:val="00F10AA9"/>
    <w:rsid w:val="00F114E8"/>
    <w:rsid w:val="00F13D85"/>
    <w:rsid w:val="00F15760"/>
    <w:rsid w:val="00F16CB6"/>
    <w:rsid w:val="00F173E6"/>
    <w:rsid w:val="00F27C8E"/>
    <w:rsid w:val="00F347CB"/>
    <w:rsid w:val="00F358C8"/>
    <w:rsid w:val="00F40444"/>
    <w:rsid w:val="00F4141C"/>
    <w:rsid w:val="00F45A55"/>
    <w:rsid w:val="00F46E1C"/>
    <w:rsid w:val="00F54A9B"/>
    <w:rsid w:val="00F55D88"/>
    <w:rsid w:val="00F607E2"/>
    <w:rsid w:val="00F62330"/>
    <w:rsid w:val="00F64B29"/>
    <w:rsid w:val="00F70498"/>
    <w:rsid w:val="00F72082"/>
    <w:rsid w:val="00F72CE3"/>
    <w:rsid w:val="00F7445D"/>
    <w:rsid w:val="00F756A6"/>
    <w:rsid w:val="00F776E9"/>
    <w:rsid w:val="00F7780C"/>
    <w:rsid w:val="00F77C6F"/>
    <w:rsid w:val="00F81A69"/>
    <w:rsid w:val="00F85978"/>
    <w:rsid w:val="00F916FB"/>
    <w:rsid w:val="00F931E0"/>
    <w:rsid w:val="00F93B85"/>
    <w:rsid w:val="00F94E93"/>
    <w:rsid w:val="00F963E1"/>
    <w:rsid w:val="00F96823"/>
    <w:rsid w:val="00FA21A8"/>
    <w:rsid w:val="00FA30B1"/>
    <w:rsid w:val="00FA4B1F"/>
    <w:rsid w:val="00FA71BF"/>
    <w:rsid w:val="00FB066A"/>
    <w:rsid w:val="00FB6348"/>
    <w:rsid w:val="00FC117D"/>
    <w:rsid w:val="00FC21A2"/>
    <w:rsid w:val="00FC2466"/>
    <w:rsid w:val="00FC3825"/>
    <w:rsid w:val="00FC5621"/>
    <w:rsid w:val="00FC7129"/>
    <w:rsid w:val="00FC791C"/>
    <w:rsid w:val="00FD0140"/>
    <w:rsid w:val="00FD0ED5"/>
    <w:rsid w:val="00FD1C47"/>
    <w:rsid w:val="00FE689F"/>
    <w:rsid w:val="00FF0BE1"/>
    <w:rsid w:val="00FF2809"/>
    <w:rsid w:val="00FF5B98"/>
    <w:rsid w:val="00FF6C45"/>
    <w:rsid w:val="00FF700F"/>
    <w:rsid w:val="00FF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50ED9E3"/>
  <w15:docId w15:val="{2C93D6BE-3DE5-481F-A05B-0F068F95B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E5F"/>
    <w:rPr>
      <w:rFonts w:ascii="Franklin Gothic Book" w:eastAsia="Times New Roman" w:hAnsi="Franklin Gothic Book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73E5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73E5F"/>
    <w:rPr>
      <w:rFonts w:ascii="Franklin Gothic Book" w:hAnsi="Franklin Gothic Book" w:cs="Times New Roman"/>
      <w:sz w:val="24"/>
      <w:szCs w:val="24"/>
      <w:lang w:eastAsia="de-DE"/>
    </w:rPr>
  </w:style>
  <w:style w:type="paragraph" w:styleId="Footer">
    <w:name w:val="footer"/>
    <w:basedOn w:val="Normal"/>
    <w:link w:val="FooterChar"/>
    <w:uiPriority w:val="99"/>
    <w:rsid w:val="00C73E5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73E5F"/>
    <w:rPr>
      <w:rFonts w:ascii="Franklin Gothic Book" w:hAnsi="Franklin Gothic Book" w:cs="Times New Roman"/>
      <w:sz w:val="24"/>
      <w:szCs w:val="24"/>
      <w:lang w:eastAsia="de-DE"/>
    </w:rPr>
  </w:style>
  <w:style w:type="character" w:styleId="PageNumber">
    <w:name w:val="page number"/>
    <w:basedOn w:val="DefaultParagraphFont"/>
    <w:uiPriority w:val="99"/>
    <w:rsid w:val="00C73E5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73E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73E5F"/>
    <w:rPr>
      <w:rFonts w:ascii="Tahoma" w:hAnsi="Tahoma" w:cs="Tahoma"/>
      <w:sz w:val="16"/>
      <w:szCs w:val="16"/>
      <w:lang w:eastAsia="de-DE"/>
    </w:rPr>
  </w:style>
  <w:style w:type="paragraph" w:styleId="NormalWeb">
    <w:name w:val="Normal (Web)"/>
    <w:basedOn w:val="Normal"/>
    <w:uiPriority w:val="99"/>
    <w:rsid w:val="003A6466"/>
    <w:pPr>
      <w:spacing w:before="100" w:beforeAutospacing="1" w:after="100" w:afterAutospacing="1"/>
    </w:pPr>
    <w:rPr>
      <w:rFonts w:ascii="Times New Roman" w:eastAsia="Calibri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386F57"/>
    <w:rPr>
      <w:color w:val="0000FF" w:themeColor="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1A0352"/>
  </w:style>
  <w:style w:type="paragraph" w:customStyle="1" w:styleId="Text">
    <w:name w:val="Text"/>
    <w:basedOn w:val="Normal"/>
    <w:rsid w:val="00ED11D1"/>
    <w:pPr>
      <w:tabs>
        <w:tab w:val="left" w:pos="5535"/>
      </w:tabs>
      <w:spacing w:line="280" w:lineRule="exact"/>
      <w:ind w:right="1021"/>
    </w:pPr>
    <w:rPr>
      <w:rFonts w:ascii="Arial" w:hAnsi="Arial" w:cs="Arial"/>
      <w:szCs w:val="20"/>
    </w:rPr>
  </w:style>
  <w:style w:type="paragraph" w:styleId="NoSpacing">
    <w:name w:val="No Spacing"/>
    <w:uiPriority w:val="1"/>
    <w:qFormat/>
    <w:rsid w:val="00B03708"/>
    <w:rPr>
      <w:rFonts w:asciiTheme="minorHAnsi" w:eastAsiaTheme="minorHAnsi" w:hAnsiTheme="minorHAnsi" w:cstheme="minorBidi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E4B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4B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4B88"/>
    <w:rPr>
      <w:rFonts w:ascii="Franklin Gothic Book" w:eastAsia="Times New Roman" w:hAnsi="Franklin Gothic Book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4B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4B88"/>
    <w:rPr>
      <w:rFonts w:ascii="Franklin Gothic Book" w:eastAsia="Times New Roman" w:hAnsi="Franklin Gothic Book"/>
      <w:b/>
      <w:bCs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B631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B6315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07A5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locked/>
    <w:rsid w:val="00102F67"/>
    <w:rPr>
      <w:i/>
      <w:iCs/>
    </w:rPr>
  </w:style>
  <w:style w:type="character" w:styleId="Strong">
    <w:name w:val="Strong"/>
    <w:basedOn w:val="DefaultParagraphFont"/>
    <w:uiPriority w:val="22"/>
    <w:qFormat/>
    <w:locked/>
    <w:rsid w:val="00233B84"/>
    <w:rPr>
      <w:b/>
      <w:bCs/>
    </w:rPr>
  </w:style>
  <w:style w:type="paragraph" w:styleId="Revision">
    <w:name w:val="Revision"/>
    <w:hidden/>
    <w:uiPriority w:val="99"/>
    <w:semiHidden/>
    <w:rsid w:val="00BB541F"/>
    <w:rPr>
      <w:rFonts w:ascii="Franklin Gothic Book" w:eastAsia="Times New Roman" w:hAnsi="Franklin Gothic Book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A15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21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2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644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382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59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0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2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65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42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382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0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ullrich@inverto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nverto.com/en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iullrich@inverto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nverto.com/en/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://www.inverto.de/index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B7C078-0B44-49F7-AAED-1AAB1313E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1117</Words>
  <Characters>6372</Characters>
  <Application>Microsoft Office Word</Application>
  <DocSecurity>0</DocSecurity>
  <Lines>53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Pressemitteilung DE</vt:lpstr>
      <vt:lpstr>Pressemitteilung DE</vt:lpstr>
    </vt:vector>
  </TitlesOfParts>
  <Company>INVERTO</Company>
  <LinksUpToDate>false</LinksUpToDate>
  <CharactersWithSpaces>7475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 DE</dc:title>
  <dc:creator>Ina Ullrich</dc:creator>
  <cp:lastModifiedBy>Annika Holst</cp:lastModifiedBy>
  <cp:revision>4</cp:revision>
  <cp:lastPrinted>2018-04-11T07:34:00Z</cp:lastPrinted>
  <dcterms:created xsi:type="dcterms:W3CDTF">2026-08-06T15:29:00Z</dcterms:created>
  <dcterms:modified xsi:type="dcterms:W3CDTF">2026-10-15T09:12:00Z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6d61cc2c4f47424c6b57f3f83549f1a12bc5800e0bca36d83f670d258fccebe1</vt:lpwstr>
  </property>
  <property fmtid="{D5CDD505-2E9C-101B-9397-08002B2CF9AE}" pid="3" name="MSIP_Label_b0d5c4f4-7a29-4385-b7a5-afbe2154ae6f_Enabled">
    <vt:lpwstr>true</vt:lpwstr>
  </property>
  <property fmtid="{D5CDD505-2E9C-101B-9397-08002B2CF9AE}" pid="4" name="MSIP_Label_b0d5c4f4-7a29-4385-b7a5-afbe2154ae6f_SetDate">
    <vt:lpwstr>2025-01-23T16:54:08Z</vt:lpwstr>
  </property>
  <property fmtid="{D5CDD505-2E9C-101B-9397-08002B2CF9AE}" pid="5" name="MSIP_Label_b0d5c4f4-7a29-4385-b7a5-afbe2154ae6f_Method">
    <vt:lpwstr>Standard</vt:lpwstr>
  </property>
  <property fmtid="{D5CDD505-2E9C-101B-9397-08002B2CF9AE}" pid="6" name="MSIP_Label_b0d5c4f4-7a29-4385-b7a5-afbe2154ae6f_Name">
    <vt:lpwstr>Confidential</vt:lpwstr>
  </property>
  <property fmtid="{D5CDD505-2E9C-101B-9397-08002B2CF9AE}" pid="7" name="MSIP_Label_b0d5c4f4-7a29-4385-b7a5-afbe2154ae6f_SiteId">
    <vt:lpwstr>2dfb2f0b-4d21-4268-9559-72926144c918</vt:lpwstr>
  </property>
  <property fmtid="{D5CDD505-2E9C-101B-9397-08002B2CF9AE}" pid="8" name="MSIP_Label_b0d5c4f4-7a29-4385-b7a5-afbe2154ae6f_ActionId">
    <vt:lpwstr>7e2de352-7765-413c-953c-72d1d7b68126</vt:lpwstr>
  </property>
  <property fmtid="{D5CDD505-2E9C-101B-9397-08002B2CF9AE}" pid="9" name="MSIP_Label_b0d5c4f4-7a29-4385-b7a5-afbe2154ae6f_ContentBits">
    <vt:lpwstr>0</vt:lpwstr>
  </property>
</Properties>
</file>