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B279F" w14:textId="63A55F39" w:rsidR="00286041" w:rsidRDefault="00286041" w:rsidP="00286041">
      <w:pPr>
        <w:spacing w:line="276" w:lineRule="auto"/>
        <w:ind w:right="-567"/>
        <w:rPr>
          <w:rFonts w:ascii="Sora" w:hAnsi="Sora" w:cs="Sora"/>
          <w:b/>
          <w:bCs/>
          <w:sz w:val="36"/>
          <w:szCs w:val="36"/>
        </w:rPr>
      </w:pPr>
      <w:bookmarkStart w:id="0" w:name="_Hlk534903597"/>
      <w:r>
        <w:rPr>
          <w:rFonts w:ascii="Sora" w:hAnsi="Sora" w:cs="Sora"/>
          <w:b/>
          <w:bCs/>
          <w:sz w:val="36"/>
          <w:szCs w:val="36"/>
        </w:rPr>
        <w:t>Kosten senken immer noch wichtiger als Zukunft sichern</w:t>
      </w:r>
    </w:p>
    <w:p w14:paraId="33CBC39F" w14:textId="77777777" w:rsidR="00286041" w:rsidRDefault="00286041" w:rsidP="00286041">
      <w:pPr>
        <w:spacing w:line="276" w:lineRule="auto"/>
        <w:ind w:right="-567"/>
        <w:rPr>
          <w:rFonts w:ascii="Sora" w:hAnsi="Sora" w:cs="Sora"/>
          <w:sz w:val="28"/>
          <w:szCs w:val="28"/>
        </w:rPr>
      </w:pPr>
      <w:r w:rsidRPr="00676C1C">
        <w:rPr>
          <w:rFonts w:ascii="Sora" w:hAnsi="Sora" w:cs="Sora"/>
          <w:sz w:val="28"/>
          <w:szCs w:val="28"/>
        </w:rPr>
        <w:t xml:space="preserve">Deutsche Unternehmen </w:t>
      </w:r>
      <w:r>
        <w:rPr>
          <w:rFonts w:ascii="Sora" w:hAnsi="Sora" w:cs="Sora"/>
          <w:sz w:val="28"/>
          <w:szCs w:val="28"/>
        </w:rPr>
        <w:t>sollten</w:t>
      </w:r>
      <w:r w:rsidRPr="00676C1C">
        <w:rPr>
          <w:rFonts w:ascii="Sora" w:hAnsi="Sora" w:cs="Sora"/>
          <w:sz w:val="28"/>
          <w:szCs w:val="28"/>
        </w:rPr>
        <w:t xml:space="preserve"> sich nicht ins Abseits sparen</w:t>
      </w:r>
      <w:r>
        <w:rPr>
          <w:rFonts w:ascii="Sora" w:hAnsi="Sora" w:cs="Sora"/>
          <w:sz w:val="28"/>
          <w:szCs w:val="28"/>
        </w:rPr>
        <w:t xml:space="preserve"> / Ergebnisse der Inverto-Rohstoffstudie</w:t>
      </w:r>
    </w:p>
    <w:p w14:paraId="2B1C81D4" w14:textId="77777777" w:rsidR="00286041" w:rsidRDefault="00286041" w:rsidP="00286041">
      <w:pPr>
        <w:spacing w:line="276" w:lineRule="auto"/>
        <w:ind w:right="-567"/>
        <w:rPr>
          <w:rFonts w:ascii="Sora" w:hAnsi="Sora" w:cs="Sora"/>
          <w:i/>
          <w:iCs/>
          <w:szCs w:val="22"/>
        </w:rPr>
      </w:pPr>
    </w:p>
    <w:p w14:paraId="7FAD7E66" w14:textId="77777777" w:rsidR="00286041" w:rsidRDefault="00286041" w:rsidP="00286041">
      <w:pPr>
        <w:pStyle w:val="ListParagraph"/>
        <w:numPr>
          <w:ilvl w:val="0"/>
          <w:numId w:val="3"/>
        </w:numPr>
        <w:spacing w:line="276" w:lineRule="auto"/>
        <w:ind w:right="-567"/>
        <w:rPr>
          <w:rFonts w:ascii="Sora" w:hAnsi="Sora" w:cs="Sora"/>
          <w:b/>
          <w:bCs/>
          <w:szCs w:val="22"/>
        </w:rPr>
      </w:pPr>
      <w:r w:rsidRPr="00903370">
        <w:rPr>
          <w:rFonts w:ascii="Sora" w:hAnsi="Sora" w:cs="Sora"/>
          <w:b/>
          <w:bCs/>
          <w:szCs w:val="22"/>
        </w:rPr>
        <w:t xml:space="preserve">86 Prozent aller befragten Unternehmen erwarten steigende </w:t>
      </w:r>
      <w:r>
        <w:rPr>
          <w:rFonts w:ascii="Sora" w:hAnsi="Sora" w:cs="Sora"/>
          <w:b/>
          <w:bCs/>
          <w:szCs w:val="22"/>
        </w:rPr>
        <w:t>Rohstoffp</w:t>
      </w:r>
      <w:r w:rsidRPr="00903370">
        <w:rPr>
          <w:rFonts w:ascii="Sora" w:hAnsi="Sora" w:cs="Sora"/>
          <w:b/>
          <w:bCs/>
          <w:szCs w:val="22"/>
        </w:rPr>
        <w:t>reise – höchster We</w:t>
      </w:r>
      <w:r>
        <w:rPr>
          <w:rFonts w:ascii="Sora" w:hAnsi="Sora" w:cs="Sora"/>
          <w:b/>
          <w:bCs/>
          <w:szCs w:val="22"/>
        </w:rPr>
        <w:t>r</w:t>
      </w:r>
      <w:r w:rsidRPr="00903370">
        <w:rPr>
          <w:rFonts w:ascii="Sora" w:hAnsi="Sora" w:cs="Sora"/>
          <w:b/>
          <w:bCs/>
          <w:szCs w:val="22"/>
        </w:rPr>
        <w:t xml:space="preserve">t seit 2020, auch im </w:t>
      </w:r>
      <w:r>
        <w:rPr>
          <w:rFonts w:ascii="Sora" w:hAnsi="Sora" w:cs="Sora"/>
          <w:b/>
          <w:bCs/>
          <w:szCs w:val="22"/>
        </w:rPr>
        <w:t xml:space="preserve">deutschsprachigen </w:t>
      </w:r>
      <w:r w:rsidRPr="00903370">
        <w:rPr>
          <w:rFonts w:ascii="Sora" w:hAnsi="Sora" w:cs="Sora"/>
          <w:b/>
          <w:bCs/>
          <w:szCs w:val="22"/>
        </w:rPr>
        <w:t xml:space="preserve">Raum </w:t>
      </w:r>
      <w:r>
        <w:rPr>
          <w:rFonts w:ascii="Sora" w:hAnsi="Sora" w:cs="Sora"/>
          <w:b/>
          <w:bCs/>
          <w:szCs w:val="22"/>
        </w:rPr>
        <w:t>(DACH)</w:t>
      </w:r>
    </w:p>
    <w:p w14:paraId="3DD70DD5" w14:textId="46B430CA" w:rsidR="00286041" w:rsidRPr="00903370" w:rsidRDefault="00286041" w:rsidP="00286041">
      <w:pPr>
        <w:pStyle w:val="ListParagraph"/>
        <w:numPr>
          <w:ilvl w:val="0"/>
          <w:numId w:val="3"/>
        </w:numPr>
        <w:spacing w:line="276" w:lineRule="auto"/>
        <w:ind w:right="-567"/>
        <w:rPr>
          <w:rFonts w:ascii="Sora" w:hAnsi="Sora" w:cs="Sora"/>
          <w:b/>
          <w:bCs/>
          <w:szCs w:val="22"/>
        </w:rPr>
      </w:pPr>
      <w:r w:rsidRPr="00903370">
        <w:rPr>
          <w:rFonts w:ascii="Sora" w:hAnsi="Sora" w:cs="Sora"/>
          <w:b/>
          <w:bCs/>
          <w:szCs w:val="22"/>
        </w:rPr>
        <w:t>91 Prozent</w:t>
      </w:r>
      <w:r w:rsidR="00DA310B">
        <w:rPr>
          <w:rFonts w:ascii="Sora" w:hAnsi="Sora" w:cs="Sora"/>
          <w:b/>
          <w:bCs/>
          <w:szCs w:val="22"/>
        </w:rPr>
        <w:t xml:space="preserve"> aller Teilnehmer</w:t>
      </w:r>
      <w:r w:rsidRPr="00903370">
        <w:rPr>
          <w:rFonts w:ascii="Sora" w:hAnsi="Sora" w:cs="Sora"/>
          <w:b/>
          <w:bCs/>
          <w:szCs w:val="22"/>
        </w:rPr>
        <w:t xml:space="preserve"> spüren geopolitische Auswirkungen auf ihre Lieferketten</w:t>
      </w:r>
      <w:r w:rsidR="00AE53D2">
        <w:rPr>
          <w:rFonts w:ascii="Sora" w:hAnsi="Sora" w:cs="Sora"/>
          <w:b/>
          <w:bCs/>
          <w:szCs w:val="22"/>
        </w:rPr>
        <w:t>;</w:t>
      </w:r>
      <w:r w:rsidRPr="00903370">
        <w:rPr>
          <w:rFonts w:ascii="Sora" w:hAnsi="Sora" w:cs="Sora"/>
          <w:b/>
          <w:bCs/>
          <w:szCs w:val="22"/>
        </w:rPr>
        <w:t xml:space="preserve"> </w:t>
      </w:r>
      <w:r w:rsidR="00DA310B">
        <w:rPr>
          <w:rFonts w:ascii="Sora" w:hAnsi="Sora" w:cs="Sora"/>
          <w:b/>
          <w:bCs/>
          <w:szCs w:val="22"/>
        </w:rPr>
        <w:t xml:space="preserve">im deutschsprachigen Raum sind es sogar </w:t>
      </w:r>
      <w:r w:rsidR="00AE53D2">
        <w:rPr>
          <w:rFonts w:ascii="Sora" w:hAnsi="Sora" w:cs="Sora"/>
          <w:b/>
          <w:bCs/>
          <w:szCs w:val="22"/>
        </w:rPr>
        <w:t>100 Prozent</w:t>
      </w:r>
      <w:r w:rsidR="00DA310B">
        <w:rPr>
          <w:rFonts w:ascii="Sora" w:hAnsi="Sora" w:cs="Sora"/>
          <w:b/>
          <w:bCs/>
          <w:szCs w:val="22"/>
        </w:rPr>
        <w:t xml:space="preserve"> </w:t>
      </w:r>
      <w:r w:rsidRPr="00903370">
        <w:rPr>
          <w:rFonts w:ascii="Sora" w:hAnsi="Sora" w:cs="Sora"/>
          <w:b/>
          <w:bCs/>
          <w:szCs w:val="22"/>
        </w:rPr>
        <w:t xml:space="preserve">– trotzdem priorisieren 66 Prozent </w:t>
      </w:r>
      <w:r w:rsidR="00DA310B">
        <w:rPr>
          <w:rFonts w:ascii="Sora" w:hAnsi="Sora" w:cs="Sora"/>
          <w:b/>
          <w:bCs/>
          <w:szCs w:val="22"/>
        </w:rPr>
        <w:t xml:space="preserve">aller Teilnehmenden </w:t>
      </w:r>
      <w:r w:rsidRPr="00903370">
        <w:rPr>
          <w:rFonts w:ascii="Sora" w:hAnsi="Sora" w:cs="Sora"/>
          <w:b/>
          <w:bCs/>
          <w:szCs w:val="22"/>
        </w:rPr>
        <w:t>weiterhin den Preis vor der Versorgungssicherheit.</w:t>
      </w:r>
    </w:p>
    <w:p w14:paraId="7E3A8B1A" w14:textId="23912868" w:rsidR="00286041" w:rsidRDefault="00286041" w:rsidP="00286041">
      <w:pPr>
        <w:pStyle w:val="ListParagraph"/>
        <w:numPr>
          <w:ilvl w:val="0"/>
          <w:numId w:val="3"/>
        </w:numPr>
        <w:spacing w:line="276" w:lineRule="auto"/>
        <w:ind w:right="-567"/>
        <w:rPr>
          <w:rFonts w:ascii="Sora" w:hAnsi="Sora" w:cs="Sora"/>
          <w:b/>
          <w:bCs/>
          <w:szCs w:val="22"/>
        </w:rPr>
      </w:pPr>
      <w:r w:rsidRPr="00903370">
        <w:rPr>
          <w:rFonts w:ascii="Sora" w:hAnsi="Sora" w:cs="Sora"/>
          <w:b/>
          <w:bCs/>
          <w:szCs w:val="22"/>
        </w:rPr>
        <w:t xml:space="preserve">Nur </w:t>
      </w:r>
      <w:r w:rsidR="00AE53D2">
        <w:rPr>
          <w:rFonts w:ascii="Sora" w:hAnsi="Sora" w:cs="Sora"/>
          <w:b/>
          <w:bCs/>
          <w:szCs w:val="22"/>
        </w:rPr>
        <w:t>zehn</w:t>
      </w:r>
      <w:r w:rsidRPr="00903370">
        <w:rPr>
          <w:rFonts w:ascii="Sora" w:hAnsi="Sora" w:cs="Sora"/>
          <w:b/>
          <w:bCs/>
          <w:szCs w:val="22"/>
        </w:rPr>
        <w:t xml:space="preserve"> Prozent der </w:t>
      </w:r>
      <w:r>
        <w:rPr>
          <w:rFonts w:ascii="Sora" w:hAnsi="Sora" w:cs="Sora"/>
          <w:b/>
          <w:bCs/>
          <w:szCs w:val="22"/>
        </w:rPr>
        <w:t>Studienteilnehmenden aus dem</w:t>
      </w:r>
      <w:r w:rsidR="0079428E">
        <w:rPr>
          <w:rFonts w:ascii="Sora" w:hAnsi="Sora" w:cs="Sora"/>
          <w:b/>
          <w:bCs/>
          <w:szCs w:val="22"/>
        </w:rPr>
        <w:t xml:space="preserve"> deutschsprachigen </w:t>
      </w:r>
      <w:r>
        <w:rPr>
          <w:rFonts w:ascii="Sora" w:hAnsi="Sora" w:cs="Sora"/>
          <w:b/>
          <w:bCs/>
          <w:szCs w:val="22"/>
        </w:rPr>
        <w:t>Raum</w:t>
      </w:r>
      <w:r w:rsidRPr="00903370">
        <w:rPr>
          <w:rFonts w:ascii="Sora" w:hAnsi="Sora" w:cs="Sora"/>
          <w:b/>
          <w:bCs/>
          <w:szCs w:val="22"/>
        </w:rPr>
        <w:t xml:space="preserve"> </w:t>
      </w:r>
      <w:r w:rsidR="00AE53D2">
        <w:rPr>
          <w:rFonts w:ascii="Sora" w:hAnsi="Sora" w:cs="Sora"/>
          <w:b/>
          <w:bCs/>
          <w:szCs w:val="22"/>
        </w:rPr>
        <w:t xml:space="preserve">nutzen intensiv </w:t>
      </w:r>
      <w:r w:rsidRPr="00903370">
        <w:rPr>
          <w:rFonts w:ascii="Sora" w:hAnsi="Sora" w:cs="Sora"/>
          <w:b/>
          <w:bCs/>
          <w:szCs w:val="22"/>
        </w:rPr>
        <w:t>K</w:t>
      </w:r>
      <w:r>
        <w:rPr>
          <w:rFonts w:ascii="Sora" w:hAnsi="Sora" w:cs="Sora"/>
          <w:b/>
          <w:bCs/>
          <w:szCs w:val="22"/>
        </w:rPr>
        <w:t>ünstliche Intelligenz (KI)</w:t>
      </w:r>
      <w:r w:rsidRPr="00903370">
        <w:rPr>
          <w:rFonts w:ascii="Sora" w:hAnsi="Sora" w:cs="Sora"/>
          <w:b/>
          <w:bCs/>
          <w:szCs w:val="22"/>
        </w:rPr>
        <w:t xml:space="preserve"> im Rohstoffmanagement</w:t>
      </w:r>
      <w:r>
        <w:rPr>
          <w:rFonts w:ascii="Sora" w:hAnsi="Sora" w:cs="Sora"/>
          <w:b/>
          <w:bCs/>
          <w:szCs w:val="22"/>
        </w:rPr>
        <w:t xml:space="preserve">, </w:t>
      </w:r>
      <w:r w:rsidRPr="00903370">
        <w:rPr>
          <w:rFonts w:ascii="Sora" w:hAnsi="Sora" w:cs="Sora"/>
          <w:b/>
          <w:bCs/>
          <w:szCs w:val="22"/>
        </w:rPr>
        <w:t>gegenüber 50 Prozent i</w:t>
      </w:r>
      <w:r w:rsidR="00C42551">
        <w:rPr>
          <w:rFonts w:ascii="Sora" w:hAnsi="Sora" w:cs="Sora"/>
          <w:b/>
          <w:bCs/>
          <w:szCs w:val="22"/>
        </w:rPr>
        <w:t>m</w:t>
      </w:r>
      <w:r w:rsidRPr="00903370">
        <w:rPr>
          <w:rFonts w:ascii="Sora" w:hAnsi="Sora" w:cs="Sora"/>
          <w:b/>
          <w:bCs/>
          <w:szCs w:val="22"/>
        </w:rPr>
        <w:t xml:space="preserve"> Asien/Pazifik</w:t>
      </w:r>
      <w:r w:rsidR="00C42551">
        <w:rPr>
          <w:rFonts w:ascii="Sora" w:hAnsi="Sora" w:cs="Sora"/>
          <w:b/>
          <w:bCs/>
          <w:szCs w:val="22"/>
        </w:rPr>
        <w:t>-Raum</w:t>
      </w:r>
      <w:r w:rsidRPr="00903370">
        <w:rPr>
          <w:rFonts w:ascii="Sora" w:hAnsi="Sora" w:cs="Sora"/>
          <w:b/>
          <w:bCs/>
          <w:szCs w:val="22"/>
        </w:rPr>
        <w:t>.</w:t>
      </w:r>
      <w:r>
        <w:rPr>
          <w:rFonts w:ascii="Sora" w:hAnsi="Sora" w:cs="Sora"/>
          <w:b/>
          <w:bCs/>
          <w:szCs w:val="22"/>
        </w:rPr>
        <w:t xml:space="preserve"> </w:t>
      </w:r>
    </w:p>
    <w:bookmarkEnd w:id="0"/>
    <w:p w14:paraId="164E4B7D" w14:textId="77777777" w:rsidR="00C70F40" w:rsidRPr="00C70F40" w:rsidRDefault="00C70F40" w:rsidP="00C70F40">
      <w:pPr>
        <w:spacing w:line="276" w:lineRule="auto"/>
        <w:ind w:right="-567"/>
        <w:rPr>
          <w:rFonts w:ascii="Sora" w:hAnsi="Sora" w:cs="Sora"/>
          <w:szCs w:val="22"/>
        </w:rPr>
      </w:pPr>
    </w:p>
    <w:p w14:paraId="5F9FFFA3" w14:textId="4D8BDCEE" w:rsidR="00BB021A" w:rsidRDefault="00C70F40" w:rsidP="00BB021A">
      <w:pPr>
        <w:spacing w:line="276" w:lineRule="auto"/>
        <w:ind w:right="-567"/>
        <w:rPr>
          <w:rFonts w:ascii="Sora" w:hAnsi="Sora" w:cs="Sora"/>
          <w:szCs w:val="22"/>
        </w:rPr>
      </w:pPr>
      <w:r w:rsidRPr="00C70F40">
        <w:rPr>
          <w:rFonts w:ascii="Sora" w:hAnsi="Sora" w:cs="Sora"/>
          <w:i/>
          <w:iCs/>
          <w:szCs w:val="22"/>
        </w:rPr>
        <w:t xml:space="preserve">Köln, </w:t>
      </w:r>
      <w:r w:rsidR="00313BA1">
        <w:rPr>
          <w:rFonts w:ascii="Sora" w:hAnsi="Sora" w:cs="Sora"/>
          <w:i/>
          <w:iCs/>
          <w:szCs w:val="22"/>
        </w:rPr>
        <w:t>7</w:t>
      </w:r>
      <w:r w:rsidR="004F192B">
        <w:rPr>
          <w:rFonts w:ascii="Sora" w:hAnsi="Sora" w:cs="Sora"/>
          <w:i/>
          <w:iCs/>
          <w:szCs w:val="22"/>
        </w:rPr>
        <w:t>. August 2026</w:t>
      </w:r>
      <w:r w:rsidRPr="00C70F40">
        <w:rPr>
          <w:rFonts w:ascii="Sora" w:hAnsi="Sora" w:cs="Sora"/>
          <w:i/>
          <w:iCs/>
          <w:szCs w:val="22"/>
        </w:rPr>
        <w:t>.</w:t>
      </w:r>
      <w:r>
        <w:rPr>
          <w:rFonts w:ascii="Sora" w:hAnsi="Sora" w:cs="Sora"/>
          <w:szCs w:val="22"/>
        </w:rPr>
        <w:t xml:space="preserve"> </w:t>
      </w:r>
    </w:p>
    <w:p w14:paraId="1875D2D9" w14:textId="18F61260" w:rsidR="00AF0BF1" w:rsidRDefault="00313BA1" w:rsidP="00AF0BF1">
      <w:pPr>
        <w:spacing w:line="276" w:lineRule="auto"/>
        <w:ind w:right="-567"/>
        <w:rPr>
          <w:rFonts w:ascii="Sora" w:hAnsi="Sora" w:cs="Sora"/>
          <w:szCs w:val="22"/>
        </w:rPr>
      </w:pPr>
      <w:r>
        <w:rPr>
          <w:rFonts w:ascii="Sora" w:hAnsi="Sora" w:cs="Sora"/>
          <w:szCs w:val="22"/>
        </w:rPr>
        <w:t xml:space="preserve">Der </w:t>
      </w:r>
      <w:r w:rsidR="008E3E65" w:rsidRPr="008E3E65">
        <w:rPr>
          <w:rFonts w:ascii="Sora" w:hAnsi="Sora" w:cs="Sora"/>
          <w:szCs w:val="22"/>
        </w:rPr>
        <w:t>Rohstoff</w:t>
      </w:r>
      <w:r>
        <w:rPr>
          <w:rFonts w:ascii="Sora" w:hAnsi="Sora" w:cs="Sora"/>
          <w:szCs w:val="22"/>
        </w:rPr>
        <w:t>einkauf</w:t>
      </w:r>
      <w:r w:rsidR="008E3E65" w:rsidRPr="008E3E65">
        <w:rPr>
          <w:rFonts w:ascii="Sora" w:hAnsi="Sora" w:cs="Sora"/>
          <w:szCs w:val="22"/>
        </w:rPr>
        <w:t xml:space="preserve"> steht zunehmend unter Druck: Geopolitische Entwicklungen treiben die Unsicherheit an den Märkten, </w:t>
      </w:r>
      <w:r w:rsidR="00D93F8F">
        <w:rPr>
          <w:rFonts w:ascii="Sora" w:hAnsi="Sora" w:cs="Sora"/>
          <w:szCs w:val="22"/>
        </w:rPr>
        <w:t>so dass</w:t>
      </w:r>
      <w:r w:rsidR="008E3E65" w:rsidRPr="008E3E65">
        <w:rPr>
          <w:rFonts w:ascii="Sora" w:hAnsi="Sora" w:cs="Sora"/>
          <w:szCs w:val="22"/>
        </w:rPr>
        <w:t xml:space="preserve"> Unternehmen gleichzeitig mit steigenden Preisen und Risiken für die Versorgungssicherheit umgehen müsse</w:t>
      </w:r>
      <w:r w:rsidR="008E3E65">
        <w:rPr>
          <w:rFonts w:ascii="Sora" w:hAnsi="Sora" w:cs="Sora"/>
          <w:szCs w:val="22"/>
        </w:rPr>
        <w:t>n.</w:t>
      </w:r>
      <w:r w:rsidR="00AF0BF1" w:rsidRPr="00AF0BF1">
        <w:rPr>
          <w:rFonts w:ascii="Sora" w:hAnsi="Sora" w:cs="Sora"/>
          <w:szCs w:val="22"/>
        </w:rPr>
        <w:t xml:space="preserve">Das zeigt die neue Rohstoffstudie von Inverto, der auf Einkauf und Supply-Chain-Management spezialisierten Tochtergesellschaft der Boston Consulting Group. Für die Studie wurden 354 </w:t>
      </w:r>
      <w:r w:rsidR="00915FD3" w:rsidRPr="00AF0BF1">
        <w:rPr>
          <w:rFonts w:ascii="Sora" w:hAnsi="Sora" w:cs="Sora"/>
          <w:szCs w:val="22"/>
        </w:rPr>
        <w:t>Geschäftsführ</w:t>
      </w:r>
      <w:r w:rsidR="00915FD3">
        <w:rPr>
          <w:rFonts w:ascii="Sora" w:hAnsi="Sora" w:cs="Sora"/>
          <w:szCs w:val="22"/>
        </w:rPr>
        <w:t>ende</w:t>
      </w:r>
      <w:r w:rsidR="00AF0BF1" w:rsidRPr="00AF0BF1">
        <w:rPr>
          <w:rFonts w:ascii="Sora" w:hAnsi="Sora" w:cs="Sora"/>
          <w:szCs w:val="22"/>
        </w:rPr>
        <w:t>, Vorstandsmitglieder und Verantwortliche im Einkauf zwischen Mai und Juli 2026 in Europa und im asiatisch-pazifischen Raum befragt.</w:t>
      </w:r>
    </w:p>
    <w:p w14:paraId="55896F71" w14:textId="77777777" w:rsidR="00915FD3" w:rsidRPr="00AF0BF1" w:rsidRDefault="00915FD3" w:rsidP="00AF0BF1">
      <w:pPr>
        <w:spacing w:line="276" w:lineRule="auto"/>
        <w:ind w:right="-567"/>
        <w:rPr>
          <w:rFonts w:ascii="Sora" w:hAnsi="Sora" w:cs="Sora"/>
          <w:szCs w:val="22"/>
        </w:rPr>
      </w:pPr>
    </w:p>
    <w:p w14:paraId="7B2696FC" w14:textId="573A6CF2" w:rsidR="00AF0BF1" w:rsidRDefault="00CD10C3" w:rsidP="00AF0BF1">
      <w:pPr>
        <w:spacing w:line="276" w:lineRule="auto"/>
        <w:ind w:right="-567"/>
        <w:rPr>
          <w:rFonts w:ascii="Sora" w:hAnsi="Sora" w:cs="Sora"/>
          <w:szCs w:val="22"/>
        </w:rPr>
      </w:pPr>
      <w:r w:rsidRPr="00AF0BF1">
        <w:rPr>
          <w:rFonts w:ascii="Sora" w:hAnsi="Sora" w:cs="Sora"/>
          <w:szCs w:val="22"/>
        </w:rPr>
        <w:t xml:space="preserve">91 Prozent der Unternehmen </w:t>
      </w:r>
      <w:r w:rsidR="00915FD3">
        <w:rPr>
          <w:rFonts w:ascii="Sora" w:hAnsi="Sora" w:cs="Sora"/>
          <w:szCs w:val="22"/>
        </w:rPr>
        <w:t>sehen</w:t>
      </w:r>
      <w:r w:rsidRPr="00AF0BF1">
        <w:rPr>
          <w:rFonts w:ascii="Sora" w:hAnsi="Sora" w:cs="Sora"/>
          <w:szCs w:val="22"/>
        </w:rPr>
        <w:t xml:space="preserve"> Auswirkungen geopolitischer Entwicklungen auf ihre Lieferketten, 86 Prozent erwarten steigende </w:t>
      </w:r>
      <w:r w:rsidR="00915FD3">
        <w:rPr>
          <w:rFonts w:ascii="Sora" w:hAnsi="Sora" w:cs="Sora"/>
          <w:szCs w:val="22"/>
        </w:rPr>
        <w:t>Rohstoffp</w:t>
      </w:r>
      <w:r w:rsidRPr="00AF0BF1">
        <w:rPr>
          <w:rFonts w:ascii="Sora" w:hAnsi="Sora" w:cs="Sora"/>
          <w:szCs w:val="22"/>
        </w:rPr>
        <w:t>reise.</w:t>
      </w:r>
      <w:r>
        <w:rPr>
          <w:rFonts w:ascii="Sora" w:hAnsi="Sora" w:cs="Sora"/>
          <w:szCs w:val="22"/>
        </w:rPr>
        <w:t xml:space="preserve"> </w:t>
      </w:r>
      <w:r w:rsidR="00AF0BF1" w:rsidRPr="00AF0BF1">
        <w:rPr>
          <w:rFonts w:ascii="Sora" w:hAnsi="Sora" w:cs="Sora"/>
          <w:szCs w:val="22"/>
        </w:rPr>
        <w:t xml:space="preserve">Im deutschsprachigen Raum geben alle befragten Unternehmen an, die Auswirkungen geopolitischer Entwicklungen auf ihre Lieferketten zu spüren – bei der Hälfte fällt der Einfluss moderat bis stark aus. </w:t>
      </w:r>
      <w:r w:rsidR="00915FD3">
        <w:rPr>
          <w:rFonts w:ascii="Sora" w:hAnsi="Sora" w:cs="Sora"/>
          <w:szCs w:val="22"/>
        </w:rPr>
        <w:t>Auch</w:t>
      </w:r>
      <w:r w:rsidR="00915FD3" w:rsidRPr="00AF0BF1">
        <w:rPr>
          <w:rFonts w:ascii="Sora" w:hAnsi="Sora" w:cs="Sora"/>
          <w:szCs w:val="22"/>
        </w:rPr>
        <w:t xml:space="preserve"> </w:t>
      </w:r>
      <w:r w:rsidR="00AF0BF1" w:rsidRPr="00AF0BF1">
        <w:rPr>
          <w:rFonts w:ascii="Sora" w:hAnsi="Sora" w:cs="Sora"/>
          <w:szCs w:val="22"/>
        </w:rPr>
        <w:t xml:space="preserve">rechnen 86 Prozent der DACH-Unternehmen mit steigenden Rohstoffpreisen. </w:t>
      </w:r>
    </w:p>
    <w:p w14:paraId="6ED172CD" w14:textId="77777777" w:rsidR="00AF0BF1" w:rsidRPr="00AF0BF1" w:rsidRDefault="00AF0BF1" w:rsidP="00AF0BF1">
      <w:pPr>
        <w:spacing w:line="276" w:lineRule="auto"/>
        <w:ind w:right="-567"/>
        <w:rPr>
          <w:rFonts w:ascii="Sora" w:hAnsi="Sora" w:cs="Sora"/>
          <w:szCs w:val="22"/>
        </w:rPr>
      </w:pPr>
    </w:p>
    <w:p w14:paraId="127B3EAE" w14:textId="77777777" w:rsidR="00AF0BF1" w:rsidRPr="00AF0BF1" w:rsidRDefault="00AF0BF1" w:rsidP="00AF0BF1">
      <w:pPr>
        <w:spacing w:line="276" w:lineRule="auto"/>
        <w:ind w:right="-567"/>
        <w:rPr>
          <w:rFonts w:ascii="Sora" w:hAnsi="Sora" w:cs="Sora"/>
          <w:b/>
          <w:szCs w:val="22"/>
        </w:rPr>
      </w:pPr>
      <w:r w:rsidRPr="00AF0BF1">
        <w:rPr>
          <w:rFonts w:ascii="Sora" w:hAnsi="Sora" w:cs="Sora"/>
          <w:b/>
          <w:szCs w:val="22"/>
        </w:rPr>
        <w:t>Risikobewusstsein allein reicht nicht</w:t>
      </w:r>
    </w:p>
    <w:p w14:paraId="1D2059E0" w14:textId="536527BD" w:rsidR="00AF0BF1" w:rsidRPr="00AF0BF1" w:rsidRDefault="00AF0BF1" w:rsidP="00AF0BF1">
      <w:pPr>
        <w:spacing w:line="276" w:lineRule="auto"/>
        <w:ind w:right="-567"/>
        <w:rPr>
          <w:rFonts w:ascii="Sora" w:hAnsi="Sora" w:cs="Sora"/>
          <w:szCs w:val="22"/>
        </w:rPr>
      </w:pPr>
      <w:r w:rsidRPr="00AF0BF1">
        <w:rPr>
          <w:rFonts w:ascii="Sora" w:hAnsi="Sora" w:cs="Sora"/>
          <w:szCs w:val="22"/>
        </w:rPr>
        <w:t xml:space="preserve">Trotz dieser Ausgangslage hat das gestiegene Risikobewusstsein </w:t>
      </w:r>
      <w:r>
        <w:rPr>
          <w:rFonts w:ascii="Sora" w:hAnsi="Sora" w:cs="Sora"/>
          <w:szCs w:val="22"/>
        </w:rPr>
        <w:t>b</w:t>
      </w:r>
      <w:r w:rsidRPr="00AF0BF1">
        <w:rPr>
          <w:rFonts w:ascii="Sora" w:hAnsi="Sora" w:cs="Sora"/>
          <w:szCs w:val="22"/>
        </w:rPr>
        <w:t xml:space="preserve">islang kaum zu einer Neuausrichtung der Einkaufsstrategien geführt: 66 Prozent </w:t>
      </w:r>
      <w:r w:rsidR="0079428E">
        <w:rPr>
          <w:rFonts w:ascii="Sora" w:hAnsi="Sora" w:cs="Sora"/>
          <w:szCs w:val="22"/>
        </w:rPr>
        <w:lastRenderedPageBreak/>
        <w:t>aller befragten</w:t>
      </w:r>
      <w:r w:rsidRPr="00AF0BF1">
        <w:rPr>
          <w:rFonts w:ascii="Sora" w:hAnsi="Sora" w:cs="Sora"/>
          <w:szCs w:val="22"/>
        </w:rPr>
        <w:t xml:space="preserve"> Unternehmen priorisieren weiterhin den Einkaufspreis vor der Versorgungssicherheit.</w:t>
      </w:r>
    </w:p>
    <w:p w14:paraId="7D24B6D8" w14:textId="6EC1B4F2" w:rsidR="00AF0BF1" w:rsidRPr="00AF0BF1" w:rsidRDefault="00CD10C3" w:rsidP="00CD10C3">
      <w:pPr>
        <w:spacing w:line="276" w:lineRule="auto"/>
        <w:ind w:right="-567"/>
        <w:rPr>
          <w:rFonts w:ascii="Sora" w:hAnsi="Sora" w:cs="Sora"/>
          <w:szCs w:val="22"/>
        </w:rPr>
      </w:pPr>
      <w:r>
        <w:rPr>
          <w:rFonts w:ascii="Sora" w:hAnsi="Sora" w:cs="Sora"/>
          <w:szCs w:val="22"/>
        </w:rPr>
        <w:t>Diese Zurückhaltung zeigt sich auch beim Einsatz von Künstlicher Intelligenz – einem Instrument, das Vorhersage</w:t>
      </w:r>
      <w:r w:rsidR="00915FD3">
        <w:rPr>
          <w:rFonts w:ascii="Sora" w:hAnsi="Sora" w:cs="Sora"/>
          <w:szCs w:val="22"/>
        </w:rPr>
        <w:t>n</w:t>
      </w:r>
      <w:r>
        <w:rPr>
          <w:rFonts w:ascii="Sora" w:hAnsi="Sora" w:cs="Sora"/>
          <w:szCs w:val="22"/>
        </w:rPr>
        <w:t xml:space="preserve"> und Risikoanalysen </w:t>
      </w:r>
      <w:r w:rsidR="00915FD3">
        <w:rPr>
          <w:rFonts w:ascii="Sora" w:hAnsi="Sora" w:cs="Sora"/>
          <w:szCs w:val="22"/>
        </w:rPr>
        <w:t xml:space="preserve">stark </w:t>
      </w:r>
      <w:r>
        <w:rPr>
          <w:rFonts w:ascii="Sora" w:hAnsi="Sora" w:cs="Sora"/>
          <w:szCs w:val="22"/>
        </w:rPr>
        <w:t>verbessern kann. So nutzen i</w:t>
      </w:r>
      <w:r w:rsidR="00AF0BF1" w:rsidRPr="00AF0BF1">
        <w:rPr>
          <w:rFonts w:ascii="Sora" w:hAnsi="Sora" w:cs="Sora"/>
          <w:szCs w:val="22"/>
        </w:rPr>
        <w:t xml:space="preserve">m deutschsprachigen Raum </w:t>
      </w:r>
      <w:r>
        <w:rPr>
          <w:rFonts w:ascii="Sora" w:hAnsi="Sora" w:cs="Sora"/>
          <w:szCs w:val="22"/>
        </w:rPr>
        <w:t xml:space="preserve">nur </w:t>
      </w:r>
      <w:r w:rsidR="00AF0BF1" w:rsidRPr="00AF0BF1">
        <w:rPr>
          <w:rFonts w:ascii="Sora" w:hAnsi="Sora" w:cs="Sora"/>
          <w:szCs w:val="22"/>
        </w:rPr>
        <w:t xml:space="preserve">2 Prozent der befragten Unternehmen KI </w:t>
      </w:r>
      <w:r w:rsidR="00915FD3">
        <w:rPr>
          <w:rFonts w:ascii="Sora" w:hAnsi="Sora" w:cs="Sora"/>
          <w:szCs w:val="22"/>
        </w:rPr>
        <w:t>durchgängig</w:t>
      </w:r>
      <w:r w:rsidR="00915FD3" w:rsidRPr="00AF0BF1">
        <w:rPr>
          <w:rFonts w:ascii="Sora" w:hAnsi="Sora" w:cs="Sora"/>
          <w:szCs w:val="22"/>
        </w:rPr>
        <w:t xml:space="preserve"> </w:t>
      </w:r>
      <w:r w:rsidR="00AF0BF1" w:rsidRPr="00AF0BF1">
        <w:rPr>
          <w:rFonts w:ascii="Sora" w:hAnsi="Sora" w:cs="Sora"/>
          <w:szCs w:val="22"/>
        </w:rPr>
        <w:t xml:space="preserve">im Rohstoffmanagement, weitere 8 Prozent </w:t>
      </w:r>
      <w:r w:rsidR="00915FD3">
        <w:rPr>
          <w:rFonts w:ascii="Sora" w:hAnsi="Sora" w:cs="Sora"/>
          <w:szCs w:val="22"/>
        </w:rPr>
        <w:t>erproben</w:t>
      </w:r>
      <w:r w:rsidR="00915FD3" w:rsidRPr="00AF0BF1">
        <w:rPr>
          <w:rFonts w:ascii="Sora" w:hAnsi="Sora" w:cs="Sora"/>
          <w:szCs w:val="22"/>
        </w:rPr>
        <w:t xml:space="preserve"> </w:t>
      </w:r>
      <w:r w:rsidR="00AF0BF1" w:rsidRPr="00AF0BF1">
        <w:rPr>
          <w:rFonts w:ascii="Sora" w:hAnsi="Sora" w:cs="Sora"/>
          <w:szCs w:val="22"/>
        </w:rPr>
        <w:t xml:space="preserve">den Einsatz. </w:t>
      </w:r>
      <w:r w:rsidR="00915FD3">
        <w:rPr>
          <w:rFonts w:ascii="Sora" w:hAnsi="Sora" w:cs="Sora"/>
          <w:szCs w:val="22"/>
        </w:rPr>
        <w:t>E</w:t>
      </w:r>
      <w:r w:rsidR="0079428E">
        <w:rPr>
          <w:rFonts w:ascii="Sora" w:hAnsi="Sora" w:cs="Sora"/>
          <w:szCs w:val="22"/>
        </w:rPr>
        <w:t xml:space="preserve">in Großteil </w:t>
      </w:r>
      <w:r w:rsidR="00915FD3">
        <w:rPr>
          <w:rFonts w:ascii="Sora" w:hAnsi="Sora" w:cs="Sora"/>
          <w:szCs w:val="22"/>
        </w:rPr>
        <w:t xml:space="preserve">im DACH-Raum ansässiger Unternehmen </w:t>
      </w:r>
      <w:r w:rsidR="00AF0BF1" w:rsidRPr="00AF0BF1">
        <w:rPr>
          <w:rFonts w:ascii="Sora" w:hAnsi="Sora" w:cs="Sora"/>
          <w:szCs w:val="22"/>
        </w:rPr>
        <w:t>– 46 Prozent –</w:t>
      </w:r>
      <w:r w:rsidR="0079428E">
        <w:rPr>
          <w:rFonts w:ascii="Sora" w:hAnsi="Sora" w:cs="Sora"/>
          <w:szCs w:val="22"/>
        </w:rPr>
        <w:t xml:space="preserve"> </w:t>
      </w:r>
      <w:r w:rsidR="00915FD3">
        <w:rPr>
          <w:rFonts w:ascii="Sora" w:hAnsi="Sora" w:cs="Sora"/>
          <w:szCs w:val="22"/>
        </w:rPr>
        <w:t xml:space="preserve">setzt </w:t>
      </w:r>
      <w:r w:rsidR="00AF0BF1" w:rsidRPr="00AF0BF1">
        <w:rPr>
          <w:rFonts w:ascii="Sora" w:hAnsi="Sora" w:cs="Sora"/>
          <w:szCs w:val="22"/>
        </w:rPr>
        <w:t xml:space="preserve">zwar digitale Tools und Dashboards ein, </w:t>
      </w:r>
      <w:r w:rsidR="00915FD3">
        <w:rPr>
          <w:rFonts w:ascii="Sora" w:hAnsi="Sora" w:cs="Sora"/>
          <w:szCs w:val="22"/>
        </w:rPr>
        <w:t>jedoch weitgehend ohne KI-Unterstützung</w:t>
      </w:r>
      <w:r w:rsidR="00AF0BF1" w:rsidRPr="00AF0BF1">
        <w:rPr>
          <w:rFonts w:ascii="Sora" w:hAnsi="Sora" w:cs="Sora"/>
          <w:szCs w:val="22"/>
        </w:rPr>
        <w:t xml:space="preserve">. </w:t>
      </w:r>
    </w:p>
    <w:p w14:paraId="04877FD2" w14:textId="68DD2CB4" w:rsidR="00AF0BF1" w:rsidRDefault="00AF0BF1" w:rsidP="00AF0BF1">
      <w:pPr>
        <w:spacing w:line="276" w:lineRule="auto"/>
        <w:ind w:right="-567"/>
        <w:rPr>
          <w:rFonts w:ascii="Sora" w:hAnsi="Sora" w:cs="Sora"/>
          <w:szCs w:val="22"/>
        </w:rPr>
      </w:pPr>
      <w:r w:rsidRPr="00AF0BF1">
        <w:rPr>
          <w:rFonts w:ascii="Sora" w:hAnsi="Sora" w:cs="Sora"/>
          <w:szCs w:val="22"/>
        </w:rPr>
        <w:t xml:space="preserve">Im internationalen Vergleich zeigt sich der Unterschied deutlich: In der Region Asien/Pazifik geben bereits 50 Prozent der Unternehmen an, eine fortgeschrittene KI-Nutzung im Rohstoffmanagement erreicht zu haben – global haben </w:t>
      </w:r>
      <w:r w:rsidR="008E3E65">
        <w:rPr>
          <w:rFonts w:ascii="Sora" w:hAnsi="Sora" w:cs="Sora"/>
          <w:szCs w:val="22"/>
        </w:rPr>
        <w:t xml:space="preserve">30 </w:t>
      </w:r>
      <w:r w:rsidRPr="00AF0BF1">
        <w:rPr>
          <w:rFonts w:ascii="Sora" w:hAnsi="Sora" w:cs="Sora"/>
          <w:szCs w:val="22"/>
        </w:rPr>
        <w:t>Prozent der Unternehmen KI in ihr Rohstoffmanagement integriert.</w:t>
      </w:r>
    </w:p>
    <w:p w14:paraId="484B390D" w14:textId="77777777" w:rsidR="00CD10C3" w:rsidRPr="00AF0BF1" w:rsidRDefault="00CD10C3" w:rsidP="00AF0BF1">
      <w:pPr>
        <w:spacing w:line="276" w:lineRule="auto"/>
        <w:ind w:right="-567"/>
        <w:rPr>
          <w:rFonts w:ascii="Sora" w:hAnsi="Sora" w:cs="Sora"/>
          <w:szCs w:val="22"/>
        </w:rPr>
      </w:pPr>
    </w:p>
    <w:p w14:paraId="5D3F5ECC" w14:textId="56F716C0" w:rsidR="00AF0BF1" w:rsidRPr="00AF0BF1" w:rsidRDefault="00AF0BF1" w:rsidP="00AF0BF1">
      <w:pPr>
        <w:spacing w:line="276" w:lineRule="auto"/>
        <w:ind w:right="-567"/>
        <w:rPr>
          <w:rFonts w:ascii="Sora" w:hAnsi="Sora" w:cs="Sora"/>
          <w:szCs w:val="22"/>
        </w:rPr>
      </w:pPr>
      <w:r w:rsidRPr="00AF0BF1">
        <w:rPr>
          <w:rFonts w:ascii="Sora" w:hAnsi="Sora" w:cs="Sora"/>
          <w:szCs w:val="22"/>
        </w:rPr>
        <w:t xml:space="preserve">„Die Unternehmen haben verstanden, dass Rohstoffrisiken dauerhaft bestehen bleiben. Nur richten sie ihre Entscheidungsprozesse noch nicht konsequent genug danach aus. Es fehlt noch an klaren Resilienzkriterien </w:t>
      </w:r>
      <w:r w:rsidR="00915FD3">
        <w:rPr>
          <w:rFonts w:ascii="Sora" w:hAnsi="Sora" w:cs="Sora"/>
          <w:szCs w:val="22"/>
        </w:rPr>
        <w:t>im Einkauf</w:t>
      </w:r>
      <w:r w:rsidRPr="00AF0BF1">
        <w:rPr>
          <w:rFonts w:ascii="Sora" w:hAnsi="Sora" w:cs="Sora"/>
          <w:szCs w:val="22"/>
        </w:rPr>
        <w:t xml:space="preserve"> und am konsequenten Einsatz von KI, um fundierte Entscheidungen zu treffen</w:t>
      </w:r>
      <w:r w:rsidR="00915FD3">
        <w:rPr>
          <w:rFonts w:ascii="Sora" w:hAnsi="Sora" w:cs="Sora"/>
          <w:szCs w:val="22"/>
        </w:rPr>
        <w:t xml:space="preserve"> und die Rohstoffversorgung zu sichern</w:t>
      </w:r>
      <w:r w:rsidRPr="00AF0BF1">
        <w:rPr>
          <w:rFonts w:ascii="Sora" w:hAnsi="Sora" w:cs="Sora"/>
          <w:szCs w:val="22"/>
        </w:rPr>
        <w:t>”, fasst Justus Brinkmann, Principal bei Inverto und Studienautor, zusammen.</w:t>
      </w:r>
    </w:p>
    <w:p w14:paraId="24220C57" w14:textId="77777777" w:rsidR="00AF0BF1" w:rsidRDefault="00AF0BF1" w:rsidP="00AF0BF1">
      <w:pPr>
        <w:spacing w:line="276" w:lineRule="auto"/>
        <w:ind w:right="-567"/>
        <w:rPr>
          <w:rFonts w:ascii="Sora" w:hAnsi="Sora" w:cs="Sora"/>
          <w:szCs w:val="22"/>
        </w:rPr>
      </w:pPr>
    </w:p>
    <w:p w14:paraId="6324AB33" w14:textId="56B62122" w:rsidR="00AF0BF1" w:rsidRDefault="00AF0BF1" w:rsidP="00AF0BF1">
      <w:pPr>
        <w:spacing w:line="276" w:lineRule="auto"/>
        <w:ind w:right="-567"/>
        <w:rPr>
          <w:rFonts w:ascii="Sora" w:hAnsi="Sora" w:cs="Sora"/>
          <w:b/>
          <w:szCs w:val="22"/>
        </w:rPr>
      </w:pPr>
      <w:r w:rsidRPr="00AF0BF1">
        <w:rPr>
          <w:rFonts w:ascii="Sora" w:hAnsi="Sora" w:cs="Sora"/>
          <w:b/>
          <w:szCs w:val="22"/>
        </w:rPr>
        <w:t>Industrierohstoffe unter Druck</w:t>
      </w:r>
    </w:p>
    <w:p w14:paraId="5D665B64" w14:textId="77777777" w:rsidR="003C0ECA" w:rsidRPr="003C0ECA" w:rsidRDefault="003C0ECA" w:rsidP="003C0ECA">
      <w:pPr>
        <w:spacing w:line="276" w:lineRule="auto"/>
        <w:ind w:right="-567"/>
        <w:rPr>
          <w:rFonts w:ascii="Sora" w:hAnsi="Sora" w:cs="Sora"/>
          <w:szCs w:val="22"/>
        </w:rPr>
      </w:pPr>
      <w:r w:rsidRPr="003C0ECA">
        <w:rPr>
          <w:rFonts w:ascii="Sora" w:hAnsi="Sora" w:cs="Sora"/>
          <w:szCs w:val="22"/>
        </w:rPr>
        <w:t xml:space="preserve">Die Preiserwartungen für Rohstoffe haben einen neuen Höchststand erreicht: 86 Prozent der Befragten rechnen in den kommenden zwölf Monaten mit steigenden Preisen. Am stärksten treibt der Preisdruck bei Rohöl (28 Prozent der Nennungen), Chemikalien (23 Prozent), Eisen und Stahl (22 Prozent) sowie Aluminium (21 Prozent). </w:t>
      </w:r>
    </w:p>
    <w:p w14:paraId="3ACCEAA3" w14:textId="77777777" w:rsidR="003C0ECA" w:rsidRPr="003C0ECA" w:rsidRDefault="003C0ECA" w:rsidP="003C0ECA">
      <w:pPr>
        <w:spacing w:line="276" w:lineRule="auto"/>
        <w:ind w:right="-567"/>
        <w:rPr>
          <w:rFonts w:ascii="Sora" w:hAnsi="Sora" w:cs="Sora"/>
          <w:szCs w:val="22"/>
        </w:rPr>
      </w:pPr>
      <w:r w:rsidRPr="003C0ECA">
        <w:rPr>
          <w:rFonts w:ascii="Sora" w:hAnsi="Sora" w:cs="Sora"/>
          <w:szCs w:val="22"/>
        </w:rPr>
        <w:t xml:space="preserve">Bei Agrarrohstoffen sind es Öle &amp; Fette (37 Prozent) und Düngemittel-Vorprodukte (31 Prozent). </w:t>
      </w:r>
    </w:p>
    <w:p w14:paraId="62524ADA" w14:textId="1528AD79" w:rsidR="003C0ECA" w:rsidRPr="003C0ECA" w:rsidRDefault="003C0ECA" w:rsidP="003C0ECA">
      <w:pPr>
        <w:spacing w:line="276" w:lineRule="auto"/>
        <w:ind w:right="-567"/>
        <w:rPr>
          <w:rFonts w:ascii="Sora" w:hAnsi="Sora" w:cs="Sora"/>
          <w:szCs w:val="22"/>
        </w:rPr>
      </w:pPr>
      <w:r w:rsidRPr="003C0ECA">
        <w:rPr>
          <w:rFonts w:ascii="Sora" w:hAnsi="Sora" w:cs="Sora"/>
          <w:szCs w:val="22"/>
        </w:rPr>
        <w:t xml:space="preserve">Ein ähnliches Muster zeigt sich auf der Versorgungsseite: </w:t>
      </w:r>
      <w:r w:rsidR="005E7E8C">
        <w:rPr>
          <w:rFonts w:ascii="Sora" w:hAnsi="Sora" w:cs="Sora"/>
          <w:szCs w:val="22"/>
        </w:rPr>
        <w:t xml:space="preserve">Am stärksten sorgen sich die Befragten um die Verfügbarkeit von </w:t>
      </w:r>
      <w:r w:rsidRPr="003C0ECA">
        <w:rPr>
          <w:rFonts w:ascii="Sora" w:hAnsi="Sora" w:cs="Sora"/>
          <w:szCs w:val="22"/>
        </w:rPr>
        <w:t>Rohöl und Energie, mit einem Zuwachs von 15 beziehungsweise 13 Prozentpunkten gegenüber 2025 (auf 27 beziehungsweise 21 Prozent), dicht gefolgt von Eisen und Stahl (plus 9 Prozentpunkte auf 20 Prozent). Auch bei Agrarrohstoffen w</w:t>
      </w:r>
      <w:r w:rsidR="005E7E8C">
        <w:rPr>
          <w:rFonts w:ascii="Sora" w:hAnsi="Sora" w:cs="Sora"/>
          <w:szCs w:val="22"/>
        </w:rPr>
        <w:t>ird</w:t>
      </w:r>
      <w:r w:rsidRPr="003C0ECA">
        <w:rPr>
          <w:rFonts w:ascii="Sora" w:hAnsi="Sora" w:cs="Sora"/>
          <w:szCs w:val="22"/>
        </w:rPr>
        <w:t xml:space="preserve"> mit Lieferengpässen gerechnet. </w:t>
      </w:r>
    </w:p>
    <w:p w14:paraId="035F8B30" w14:textId="77777777" w:rsidR="003C0ECA" w:rsidRPr="00AF0BF1" w:rsidRDefault="003C0ECA" w:rsidP="00AF0BF1">
      <w:pPr>
        <w:spacing w:line="276" w:lineRule="auto"/>
        <w:ind w:right="-567"/>
        <w:rPr>
          <w:rFonts w:ascii="Sora" w:hAnsi="Sora" w:cs="Sora"/>
          <w:szCs w:val="22"/>
        </w:rPr>
      </w:pPr>
    </w:p>
    <w:p w14:paraId="704C8F3D" w14:textId="77777777" w:rsidR="00AF0BF1" w:rsidRDefault="00AF0BF1" w:rsidP="00AF0BF1">
      <w:pPr>
        <w:spacing w:line="276" w:lineRule="auto"/>
        <w:ind w:right="-567"/>
        <w:rPr>
          <w:rFonts w:ascii="Sora" w:hAnsi="Sora" w:cs="Sora"/>
          <w:b/>
          <w:szCs w:val="22"/>
        </w:rPr>
      </w:pPr>
    </w:p>
    <w:p w14:paraId="0183BE84" w14:textId="020E0E70" w:rsidR="00AF0BF1" w:rsidRDefault="00AF0BF1" w:rsidP="00AF0BF1">
      <w:pPr>
        <w:spacing w:line="276" w:lineRule="auto"/>
        <w:ind w:right="-567"/>
        <w:rPr>
          <w:rFonts w:ascii="Sora" w:hAnsi="Sora" w:cs="Sora"/>
          <w:b/>
          <w:szCs w:val="22"/>
        </w:rPr>
      </w:pPr>
      <w:r w:rsidRPr="00AF0BF1">
        <w:rPr>
          <w:rFonts w:ascii="Sora" w:hAnsi="Sora" w:cs="Sora"/>
          <w:b/>
          <w:szCs w:val="22"/>
        </w:rPr>
        <w:t>Konzentriertes Lieferantenrisiko verschärft das Problem</w:t>
      </w:r>
    </w:p>
    <w:p w14:paraId="36307A50" w14:textId="1285B502" w:rsidR="00AF0BF1" w:rsidRDefault="00915FD3" w:rsidP="00AF0BF1">
      <w:pPr>
        <w:spacing w:line="276" w:lineRule="auto"/>
        <w:ind w:right="-567"/>
        <w:rPr>
          <w:rFonts w:ascii="Sora" w:hAnsi="Sora" w:cs="Sora"/>
          <w:szCs w:val="22"/>
        </w:rPr>
      </w:pPr>
      <w:r>
        <w:rPr>
          <w:rFonts w:ascii="Sora" w:hAnsi="Sora" w:cs="Sora"/>
          <w:szCs w:val="22"/>
        </w:rPr>
        <w:t>Die befragten Unternehmen verändern ihre Einkaufsstrategien, um Preise und Versorgung zu stabilisieren:</w:t>
      </w:r>
      <w:r w:rsidR="00AF0BF1" w:rsidRPr="00AF0BF1">
        <w:rPr>
          <w:rFonts w:ascii="Sora" w:hAnsi="Sora" w:cs="Sora"/>
          <w:szCs w:val="22"/>
        </w:rPr>
        <w:t xml:space="preserve"> Einkaufskooperationen sind mit 48 Prozent </w:t>
      </w:r>
      <w:r w:rsidR="00AF0BF1" w:rsidRPr="00AF0BF1">
        <w:rPr>
          <w:rFonts w:ascii="Sora" w:hAnsi="Sora" w:cs="Sora"/>
          <w:szCs w:val="22"/>
        </w:rPr>
        <w:lastRenderedPageBreak/>
        <w:t>inzwischen die häufigste Reaktion, gefolgt von verstärktem Dual- oder Multiple-Sourcing (46 Prozent) und Nearshoring (41 Prozent)</w:t>
      </w:r>
      <w:r w:rsidR="005E7E8C">
        <w:rPr>
          <w:rFonts w:ascii="Sora" w:hAnsi="Sora" w:cs="Sora"/>
          <w:szCs w:val="22"/>
        </w:rPr>
        <w:t>. N</w:t>
      </w:r>
      <w:r w:rsidR="00AF0BF1" w:rsidRPr="00AF0BF1">
        <w:rPr>
          <w:rFonts w:ascii="Sora" w:hAnsi="Sora" w:cs="Sora"/>
          <w:szCs w:val="22"/>
        </w:rPr>
        <w:t xml:space="preserve">ur 2 Prozent der Unternehmen </w:t>
      </w:r>
      <w:r>
        <w:rPr>
          <w:rFonts w:ascii="Sora" w:hAnsi="Sora" w:cs="Sora"/>
          <w:szCs w:val="22"/>
        </w:rPr>
        <w:t>ändern ihre Strategie nicht</w:t>
      </w:r>
      <w:r w:rsidR="00AF0BF1" w:rsidRPr="00AF0BF1">
        <w:rPr>
          <w:rFonts w:ascii="Sora" w:hAnsi="Sora" w:cs="Sora"/>
          <w:szCs w:val="22"/>
        </w:rPr>
        <w:t>. Als wichtigste Treiber dieser Entwicklung nennen die Unternehmen Rohstoffknappheit (40 Prozent), Preisrisiken (38 Prozent) und geopolitische Risiken (36 Prozent).</w:t>
      </w:r>
    </w:p>
    <w:p w14:paraId="42F2523D" w14:textId="77777777" w:rsidR="00CD10C3" w:rsidRPr="00AF0BF1" w:rsidRDefault="00CD10C3" w:rsidP="00AF0BF1">
      <w:pPr>
        <w:spacing w:line="276" w:lineRule="auto"/>
        <w:ind w:right="-567"/>
        <w:rPr>
          <w:rFonts w:ascii="Sora" w:hAnsi="Sora" w:cs="Sora"/>
          <w:szCs w:val="22"/>
        </w:rPr>
      </w:pPr>
    </w:p>
    <w:p w14:paraId="7CD116EB" w14:textId="2CCA2442" w:rsidR="00AF0BF1" w:rsidRDefault="00AF0BF1" w:rsidP="00AF0BF1">
      <w:pPr>
        <w:spacing w:line="276" w:lineRule="auto"/>
        <w:ind w:right="-567"/>
        <w:rPr>
          <w:rFonts w:ascii="Sora" w:hAnsi="Sora" w:cs="Sora"/>
          <w:szCs w:val="22"/>
        </w:rPr>
      </w:pPr>
      <w:r w:rsidRPr="00AF0BF1">
        <w:rPr>
          <w:rFonts w:ascii="Sora" w:hAnsi="Sora" w:cs="Sora"/>
          <w:szCs w:val="22"/>
        </w:rPr>
        <w:t>„Diversifizierung ist essenziell, funktioniert aber nur, wenn sie auf echter Transparenz aufbaut”, erläutert Brinkmann. „Eine auf dem Papier breite Lieferantenliste kann einen Schwachpunkt verbergen</w:t>
      </w:r>
      <w:r w:rsidR="005E7E8C">
        <w:rPr>
          <w:rFonts w:ascii="Sora" w:hAnsi="Sora" w:cs="Sora"/>
          <w:szCs w:val="22"/>
        </w:rPr>
        <w:t>, wenn die Partner ihrerseits auf die gleiche Quelle zurückgreifen</w:t>
      </w:r>
      <w:r w:rsidRPr="00AF0BF1">
        <w:rPr>
          <w:rFonts w:ascii="Sora" w:hAnsi="Sora" w:cs="Sora"/>
          <w:szCs w:val="22"/>
        </w:rPr>
        <w:t>. Unternehmen brauchen Einblick, woher ihre Lieferanten tatsächlich beziehen – sonst wirken Diversifizierungspläne auf den ersten Blick robust und brechen beim ersten Schock trotzdem zusammen.”</w:t>
      </w:r>
    </w:p>
    <w:p w14:paraId="5CA6E15B" w14:textId="77777777" w:rsidR="00CD10C3" w:rsidRPr="00AF0BF1" w:rsidRDefault="00CD10C3" w:rsidP="00AF0BF1">
      <w:pPr>
        <w:spacing w:line="276" w:lineRule="auto"/>
        <w:ind w:right="-567"/>
        <w:rPr>
          <w:rFonts w:ascii="Sora" w:hAnsi="Sora" w:cs="Sora"/>
          <w:szCs w:val="22"/>
        </w:rPr>
      </w:pPr>
    </w:p>
    <w:p w14:paraId="7C692217" w14:textId="77777777" w:rsidR="00AF0BF1" w:rsidRDefault="00AF0BF1" w:rsidP="00AF0BF1">
      <w:pPr>
        <w:spacing w:line="276" w:lineRule="auto"/>
        <w:ind w:right="-567"/>
        <w:rPr>
          <w:rFonts w:ascii="Sora" w:hAnsi="Sora" w:cs="Sora"/>
          <w:b/>
          <w:szCs w:val="22"/>
        </w:rPr>
      </w:pPr>
      <w:r w:rsidRPr="00AF0BF1">
        <w:rPr>
          <w:rFonts w:ascii="Sora" w:hAnsi="Sora" w:cs="Sora"/>
          <w:b/>
          <w:szCs w:val="22"/>
        </w:rPr>
        <w:t>Auch Preisstrategien verändern sich</w:t>
      </w:r>
    </w:p>
    <w:p w14:paraId="684DBBC6" w14:textId="31611DA5" w:rsidR="00AF0BF1" w:rsidRPr="00AF0BF1" w:rsidRDefault="00AF0BF1" w:rsidP="00AF0BF1">
      <w:pPr>
        <w:spacing w:line="276" w:lineRule="auto"/>
        <w:ind w:right="-567"/>
        <w:rPr>
          <w:rFonts w:ascii="Sora" w:hAnsi="Sora" w:cs="Sora"/>
          <w:szCs w:val="22"/>
        </w:rPr>
      </w:pPr>
      <w:r w:rsidRPr="00AF0BF1">
        <w:rPr>
          <w:rFonts w:ascii="Sora" w:hAnsi="Sora" w:cs="Sora"/>
          <w:szCs w:val="22"/>
        </w:rPr>
        <w:t xml:space="preserve">Unternehmen überdenken zunehmend, wie sie Rohstoffpreise mit ihren Lieferanten verhandeln. Das </w:t>
      </w:r>
      <w:r w:rsidR="00CD10C3" w:rsidRPr="00AF0BF1">
        <w:rPr>
          <w:rFonts w:ascii="Sora" w:hAnsi="Sora" w:cs="Sora"/>
          <w:szCs w:val="22"/>
        </w:rPr>
        <w:t>am weitesten verbreitete Modell</w:t>
      </w:r>
      <w:r w:rsidRPr="00AF0BF1">
        <w:rPr>
          <w:rFonts w:ascii="Sora" w:hAnsi="Sora" w:cs="Sora"/>
          <w:szCs w:val="22"/>
        </w:rPr>
        <w:t xml:space="preserve"> sind indexgebundene Vereinbarungen mit Eskalationsklausel, die inzwischen von 31 Prozent der Unternehmen genutzt werden. Den stärksten Zuwachs verzeichnen vordefinierte Preisanpassungsvereinbarungen, die um 10 Prozentpunkte auf 27 Prozent gestiegen sind – Unternehmen suchen damit nach Wegen, um Preisschwankungen abzufedern. Nur noch 8 Prozent kaufen auf Basis tagesaktueller Spotmarktpreise.</w:t>
      </w:r>
    </w:p>
    <w:p w14:paraId="7F121AC8" w14:textId="77777777" w:rsidR="00AF0BF1" w:rsidRDefault="00AF0BF1" w:rsidP="00AF0BF1">
      <w:pPr>
        <w:spacing w:line="276" w:lineRule="auto"/>
        <w:ind w:right="-567"/>
        <w:rPr>
          <w:rFonts w:ascii="Sora" w:hAnsi="Sora" w:cs="Sora"/>
          <w:szCs w:val="22"/>
        </w:rPr>
      </w:pPr>
    </w:p>
    <w:p w14:paraId="0D389307" w14:textId="77777777" w:rsidR="00CD10C3" w:rsidRPr="00AF0BF1" w:rsidRDefault="00CD10C3" w:rsidP="00AF0BF1">
      <w:pPr>
        <w:spacing w:line="276" w:lineRule="auto"/>
        <w:ind w:right="-567"/>
        <w:rPr>
          <w:rFonts w:ascii="Sora" w:hAnsi="Sora" w:cs="Sora"/>
          <w:b/>
          <w:szCs w:val="22"/>
        </w:rPr>
      </w:pPr>
    </w:p>
    <w:p w14:paraId="1706F484" w14:textId="44200BFA" w:rsidR="00AF0BF1" w:rsidRDefault="00AF0BF1" w:rsidP="00AF0BF1">
      <w:pPr>
        <w:spacing w:line="276" w:lineRule="auto"/>
        <w:ind w:right="-567"/>
        <w:rPr>
          <w:rFonts w:ascii="Sora" w:hAnsi="Sora" w:cs="Sora"/>
          <w:b/>
          <w:szCs w:val="22"/>
        </w:rPr>
      </w:pPr>
      <w:r w:rsidRPr="00CC2F06">
        <w:rPr>
          <w:rFonts w:ascii="Sora" w:hAnsi="Sora" w:cs="Sora"/>
          <w:b/>
          <w:szCs w:val="22"/>
        </w:rPr>
        <w:t>Auf Basis der Studienergebnisse empfiehlt Inverto sechs Prioritäten, um Rohstoffstrategien dauerhaft resilient aufzustellen:</w:t>
      </w:r>
    </w:p>
    <w:p w14:paraId="19E0DADA" w14:textId="413C2AC3" w:rsidR="00AF0BF1" w:rsidRDefault="008E3E65" w:rsidP="00AF0BF1">
      <w:pPr>
        <w:spacing w:line="276" w:lineRule="auto"/>
        <w:ind w:right="-567"/>
        <w:rPr>
          <w:rFonts w:ascii="Sora" w:hAnsi="Sora" w:cs="Sora"/>
          <w:szCs w:val="22"/>
        </w:rPr>
      </w:pPr>
      <w:r w:rsidRPr="00313BA1">
        <w:rPr>
          <w:rFonts w:ascii="Sora" w:hAnsi="Sora" w:cs="Sora"/>
          <w:szCs w:val="22"/>
        </w:rPr>
        <w:t xml:space="preserve">Die Studie zeigt, dass Unternehmen ihre Rohstoffstrategien ganzheitlich weiterentwickeln müssen. Inverto empfiehlt, geopolitische Risiken </w:t>
      </w:r>
      <w:r>
        <w:rPr>
          <w:rFonts w:ascii="Sora" w:hAnsi="Sora" w:cs="Sora"/>
          <w:szCs w:val="22"/>
        </w:rPr>
        <w:t>als strukturellen Planungsfaktor zu behandeln</w:t>
      </w:r>
      <w:r w:rsidRPr="00313BA1">
        <w:rPr>
          <w:rFonts w:ascii="Sora" w:hAnsi="Sora" w:cs="Sora"/>
          <w:szCs w:val="22"/>
        </w:rPr>
        <w:t xml:space="preserve">, Lieferketten breiter aufzustellen, Resilienz </w:t>
      </w:r>
      <w:r>
        <w:rPr>
          <w:rFonts w:ascii="Sora" w:hAnsi="Sora" w:cs="Sora"/>
          <w:szCs w:val="22"/>
        </w:rPr>
        <w:t xml:space="preserve">fest </w:t>
      </w:r>
      <w:r w:rsidRPr="00313BA1">
        <w:rPr>
          <w:rFonts w:ascii="Sora" w:hAnsi="Sora" w:cs="Sora"/>
          <w:szCs w:val="22"/>
        </w:rPr>
        <w:t>in Einkaufsentscheidungen zu verankern</w:t>
      </w:r>
      <w:r>
        <w:rPr>
          <w:rFonts w:ascii="Sora" w:hAnsi="Sora" w:cs="Sora"/>
          <w:szCs w:val="22"/>
        </w:rPr>
        <w:t xml:space="preserve">. </w:t>
      </w:r>
      <w:r w:rsidRPr="008E3E65">
        <w:rPr>
          <w:rFonts w:ascii="Sora" w:hAnsi="Sora" w:cs="Sora"/>
          <w:szCs w:val="22"/>
        </w:rPr>
        <w:t>Dazu gehören außerdem Flexibilität im Produktdesign, ein strategisches Preismanagement sowie der gezielte Ausbau von KI auf Basis belastbarer Daten und klarer Governance-Strukturen.</w:t>
      </w:r>
    </w:p>
    <w:p w14:paraId="4C42A0DE" w14:textId="06DFA8DE" w:rsidR="00AF0BF1" w:rsidRPr="00AF0BF1" w:rsidRDefault="00AF0BF1" w:rsidP="00AF0BF1">
      <w:pPr>
        <w:spacing w:line="276" w:lineRule="auto"/>
        <w:ind w:right="-567"/>
        <w:rPr>
          <w:rFonts w:ascii="Sora" w:hAnsi="Sora" w:cs="Sora"/>
          <w:szCs w:val="22"/>
        </w:rPr>
      </w:pPr>
      <w:r w:rsidRPr="00AF0BF1">
        <w:rPr>
          <w:rFonts w:ascii="Sora" w:hAnsi="Sora" w:cs="Sora"/>
          <w:szCs w:val="22"/>
        </w:rPr>
        <w:t>„Die Unsicherheit schlägt sich unmittelbar in höheren Kosten nieder”, resümiert Brinkmann. „Unternehmen müssen sich jetzt darauf einstellen, indem sie mit ihren Lieferanten sprechen und gemeinsam Lösungen vereinbaren.”</w:t>
      </w:r>
    </w:p>
    <w:p w14:paraId="15023B8C" w14:textId="77777777" w:rsidR="0079428E" w:rsidRDefault="0079428E" w:rsidP="00AF0BF1">
      <w:pPr>
        <w:spacing w:line="276" w:lineRule="auto"/>
        <w:ind w:right="-567"/>
        <w:rPr>
          <w:rFonts w:ascii="Sora" w:hAnsi="Sora" w:cs="Sora"/>
          <w:szCs w:val="22"/>
        </w:rPr>
      </w:pPr>
    </w:p>
    <w:p w14:paraId="332231AD" w14:textId="6238AB92" w:rsidR="00AF0BF1" w:rsidRPr="00AF0BF1" w:rsidRDefault="00AF0BF1" w:rsidP="00AF0BF1">
      <w:pPr>
        <w:spacing w:line="276" w:lineRule="auto"/>
        <w:ind w:right="-567"/>
        <w:rPr>
          <w:rFonts w:ascii="Sora" w:hAnsi="Sora" w:cs="Sora"/>
          <w:b/>
          <w:szCs w:val="22"/>
        </w:rPr>
      </w:pPr>
      <w:r w:rsidRPr="00AF0BF1">
        <w:rPr>
          <w:rFonts w:ascii="Sora" w:hAnsi="Sora" w:cs="Sora"/>
          <w:b/>
          <w:szCs w:val="22"/>
        </w:rPr>
        <w:t>Studienaufbau</w:t>
      </w:r>
    </w:p>
    <w:p w14:paraId="429182A3" w14:textId="6A40CB1E" w:rsidR="00D306E0" w:rsidRDefault="00D306E0" w:rsidP="00D306E0">
      <w:pPr>
        <w:spacing w:line="276" w:lineRule="auto"/>
        <w:ind w:right="-567"/>
        <w:rPr>
          <w:rFonts w:ascii="Sora" w:hAnsi="Sora" w:cs="Sora"/>
          <w:szCs w:val="22"/>
        </w:rPr>
      </w:pPr>
      <w:r>
        <w:rPr>
          <w:rFonts w:ascii="Sora" w:hAnsi="Sora" w:cs="Sora"/>
          <w:szCs w:val="22"/>
        </w:rPr>
        <w:lastRenderedPageBreak/>
        <w:t>Für die Rohstoffstudie</w:t>
      </w:r>
      <w:r w:rsidRPr="00A957B7">
        <w:rPr>
          <w:rFonts w:ascii="Sora" w:hAnsi="Sora" w:cs="Sora"/>
          <w:szCs w:val="22"/>
        </w:rPr>
        <w:t xml:space="preserve"> </w:t>
      </w:r>
      <w:r>
        <w:rPr>
          <w:rFonts w:ascii="Sora" w:hAnsi="Sora" w:cs="Sora"/>
          <w:szCs w:val="22"/>
        </w:rPr>
        <w:t xml:space="preserve">befragte Inverto </w:t>
      </w:r>
      <w:r w:rsidRPr="00A957B7">
        <w:rPr>
          <w:rFonts w:ascii="Sora" w:hAnsi="Sora" w:cs="Sora"/>
          <w:szCs w:val="22"/>
        </w:rPr>
        <w:t xml:space="preserve">zwischen Mai und Juli 2026 354 </w:t>
      </w:r>
      <w:r>
        <w:rPr>
          <w:rFonts w:ascii="Sora" w:hAnsi="Sora" w:cs="Sora"/>
          <w:szCs w:val="22"/>
        </w:rPr>
        <w:t>Geschäftsführungen, Vorstandsmitglieder und Verantwortliche im Einkauf. Die Teilnehmenden stammen aus</w:t>
      </w:r>
      <w:r w:rsidRPr="00A957B7">
        <w:rPr>
          <w:rFonts w:ascii="Sora" w:hAnsi="Sora" w:cs="Sora"/>
          <w:szCs w:val="22"/>
        </w:rPr>
        <w:t xml:space="preserve"> </w:t>
      </w:r>
      <w:r>
        <w:rPr>
          <w:rFonts w:ascii="Sora" w:hAnsi="Sora" w:cs="Sora"/>
          <w:szCs w:val="22"/>
        </w:rPr>
        <w:t>Europa</w:t>
      </w:r>
      <w:r w:rsidRPr="00A957B7">
        <w:rPr>
          <w:rFonts w:ascii="Sora" w:hAnsi="Sora" w:cs="Sora"/>
          <w:szCs w:val="22"/>
        </w:rPr>
        <w:t xml:space="preserve"> sowie </w:t>
      </w:r>
      <w:r>
        <w:rPr>
          <w:rFonts w:ascii="Sora" w:hAnsi="Sora" w:cs="Sora"/>
          <w:szCs w:val="22"/>
        </w:rPr>
        <w:t xml:space="preserve">dem </w:t>
      </w:r>
      <w:r w:rsidRPr="00A957B7">
        <w:rPr>
          <w:rFonts w:ascii="Sora" w:hAnsi="Sora" w:cs="Sora"/>
          <w:szCs w:val="22"/>
        </w:rPr>
        <w:t>asiatisch-pazifischen Raum</w:t>
      </w:r>
      <w:r>
        <w:rPr>
          <w:rFonts w:ascii="Sora" w:hAnsi="Sora" w:cs="Sora"/>
          <w:szCs w:val="22"/>
        </w:rPr>
        <w:t xml:space="preserve"> und arbeitet mehrheitlich in der Material- und Prozessindustrie, der Lebensmittelindustrie sowie der Automobilindustrie.</w:t>
      </w:r>
      <w:r w:rsidRPr="00A957B7">
        <w:rPr>
          <w:rFonts w:ascii="Sora" w:hAnsi="Sora" w:cs="Sora"/>
          <w:szCs w:val="22"/>
        </w:rPr>
        <w:t xml:space="preserve"> Die vollständigen Studienergebnisse sind unter www.inverto.com/raw-materials-2026 verfügbar.</w:t>
      </w:r>
    </w:p>
    <w:p w14:paraId="0B5D3FCF" w14:textId="77777777" w:rsidR="00BB021A" w:rsidRPr="00BB021A" w:rsidRDefault="00BB021A" w:rsidP="00BB021A">
      <w:pPr>
        <w:spacing w:line="276" w:lineRule="auto"/>
        <w:ind w:right="-567"/>
        <w:rPr>
          <w:rFonts w:ascii="Sora" w:hAnsi="Sora" w:cs="Sora"/>
          <w:szCs w:val="22"/>
        </w:rPr>
      </w:pPr>
    </w:p>
    <w:p w14:paraId="3C262C9D" w14:textId="77777777" w:rsidR="00BB021A" w:rsidRPr="00BB021A" w:rsidRDefault="00BB021A" w:rsidP="00BB021A">
      <w:pPr>
        <w:spacing w:line="276" w:lineRule="auto"/>
        <w:ind w:right="-567"/>
        <w:rPr>
          <w:rFonts w:ascii="Sora" w:hAnsi="Sora" w:cs="Sora"/>
          <w:szCs w:val="22"/>
        </w:rPr>
      </w:pPr>
    </w:p>
    <w:p w14:paraId="29CBB688" w14:textId="667EE3A5" w:rsidR="00027C91" w:rsidRPr="004F27E8" w:rsidRDefault="00E243EA" w:rsidP="004F27E8">
      <w:pPr>
        <w:autoSpaceDE w:val="0"/>
        <w:autoSpaceDN w:val="0"/>
        <w:spacing w:line="276" w:lineRule="auto"/>
        <w:ind w:right="-567"/>
        <w:rPr>
          <w:rFonts w:ascii="Sora" w:hAnsi="Sora" w:cs="Sora"/>
          <w:b/>
          <w:bCs/>
        </w:rPr>
      </w:pPr>
      <w:r w:rsidRPr="004F27E8">
        <w:rPr>
          <w:rFonts w:ascii="Sora" w:hAnsi="Sora" w:cs="Sora"/>
          <w:b/>
          <w:bCs/>
        </w:rPr>
        <w:t xml:space="preserve">Über </w:t>
      </w:r>
      <w:r w:rsidR="007C4BE5" w:rsidRPr="004F27E8">
        <w:rPr>
          <w:rFonts w:ascii="Sora" w:hAnsi="Sora" w:cs="Sora"/>
          <w:b/>
          <w:bCs/>
        </w:rPr>
        <w:t>Inverto</w:t>
      </w:r>
    </w:p>
    <w:p w14:paraId="2C60B4DF" w14:textId="72F6B60F" w:rsidR="00695697" w:rsidRPr="004F27E8" w:rsidRDefault="00695697" w:rsidP="004F27E8">
      <w:pPr>
        <w:autoSpaceDE w:val="0"/>
        <w:autoSpaceDN w:val="0"/>
        <w:spacing w:line="276" w:lineRule="auto"/>
        <w:ind w:right="-567"/>
        <w:rPr>
          <w:rFonts w:ascii="Sora" w:hAnsi="Sora" w:cs="Sora"/>
        </w:rPr>
      </w:pPr>
      <w:bookmarkStart w:id="1" w:name="_Hlk200617337"/>
      <w:r w:rsidRPr="004F27E8">
        <w:rPr>
          <w:rFonts w:ascii="Sora" w:hAnsi="Sora" w:cs="Sora"/>
        </w:rPr>
        <w:t xml:space="preserve">Inverto ist eine der </w:t>
      </w:r>
      <w:r w:rsidR="007C4BE5" w:rsidRPr="004F27E8">
        <w:rPr>
          <w:rFonts w:ascii="Sora" w:hAnsi="Sora" w:cs="Sora"/>
        </w:rPr>
        <w:t xml:space="preserve">weltweit </w:t>
      </w:r>
      <w:r w:rsidRPr="004F27E8">
        <w:rPr>
          <w:rFonts w:ascii="Sora" w:hAnsi="Sora" w:cs="Sora"/>
        </w:rPr>
        <w:t>führenden Unternehmensberatungen für strategischen Einkauf und Supply-Chain-Management. Die Beratungsgesellschaft geht mit ihren Services weit über reines Kostenmanagement hinaus, um für ihre Kunden echten Mehrwert und Wettbewerbsvorteile zu schaffen. Inverto transformiert Einkaufs- und Lieferkettenfunktionen, fördert Innovation, Resilienz und Nachhaltigkeit und ermöglicht damit langfristigen Erfolg.</w:t>
      </w:r>
    </w:p>
    <w:p w14:paraId="5D74F7D7" w14:textId="77777777" w:rsidR="00695697" w:rsidRPr="004F27E8" w:rsidRDefault="00695697" w:rsidP="004F27E8">
      <w:pPr>
        <w:autoSpaceDE w:val="0"/>
        <w:autoSpaceDN w:val="0"/>
        <w:spacing w:line="276" w:lineRule="auto"/>
        <w:ind w:right="-567"/>
        <w:rPr>
          <w:rFonts w:ascii="Sora" w:hAnsi="Sora" w:cs="Sora"/>
        </w:rPr>
      </w:pPr>
    </w:p>
    <w:p w14:paraId="15078A49" w14:textId="0F1C4BA4" w:rsidR="00695697" w:rsidRPr="004F27E8" w:rsidRDefault="00695697" w:rsidP="004F27E8">
      <w:pPr>
        <w:autoSpaceDE w:val="0"/>
        <w:autoSpaceDN w:val="0"/>
        <w:spacing w:line="276" w:lineRule="auto"/>
        <w:ind w:right="-567"/>
        <w:rPr>
          <w:rFonts w:ascii="Sora" w:hAnsi="Sora" w:cs="Sora"/>
        </w:rPr>
      </w:pPr>
      <w:r w:rsidRPr="004F27E8">
        <w:rPr>
          <w:rFonts w:ascii="Sora" w:hAnsi="Sora" w:cs="Sora"/>
        </w:rPr>
        <w:t xml:space="preserve">Als Tochter der Boston Consulting Group (BCG) erweitert Inverto das umfangreiche Leistungsangebot von BCG mit einer breiten Palette Lösungen zur Optimierung des Einkaufs. Inverto beschäftigt derzeit mehr als </w:t>
      </w:r>
      <w:r w:rsidR="0009189F">
        <w:rPr>
          <w:rFonts w:ascii="Sora" w:hAnsi="Sora" w:cs="Sora"/>
        </w:rPr>
        <w:t>7</w:t>
      </w:r>
      <w:r w:rsidRPr="004F27E8">
        <w:rPr>
          <w:rFonts w:ascii="Sora" w:hAnsi="Sora" w:cs="Sora"/>
        </w:rPr>
        <w:t xml:space="preserve">00 Expert:innen auf </w:t>
      </w:r>
      <w:r w:rsidR="00DC3211">
        <w:rPr>
          <w:rFonts w:ascii="Sora" w:hAnsi="Sora" w:cs="Sora"/>
        </w:rPr>
        <w:t>vier</w:t>
      </w:r>
      <w:r w:rsidRPr="004F27E8">
        <w:rPr>
          <w:rFonts w:ascii="Sora" w:hAnsi="Sora" w:cs="Sora"/>
        </w:rPr>
        <w:t xml:space="preserve"> Kontinenten. Zu den Kunden zählen weltweit bekannte Marken aus allen Branchen sowie führende Private-Equity-Firmen.</w:t>
      </w:r>
    </w:p>
    <w:p w14:paraId="7CC55982" w14:textId="77777777" w:rsidR="00FC2466" w:rsidRPr="004F27E8" w:rsidRDefault="00FC2466" w:rsidP="004F27E8">
      <w:pPr>
        <w:autoSpaceDE w:val="0"/>
        <w:autoSpaceDN w:val="0"/>
        <w:spacing w:line="276" w:lineRule="auto"/>
        <w:ind w:right="-567"/>
        <w:rPr>
          <w:rFonts w:ascii="Sora" w:hAnsi="Sora" w:cs="Sora"/>
          <w:b/>
          <w:bCs/>
        </w:rPr>
      </w:pPr>
    </w:p>
    <w:bookmarkEnd w:id="1"/>
    <w:p w14:paraId="29963B6D" w14:textId="4402E4BD" w:rsidR="00233B84" w:rsidRPr="004F27E8" w:rsidRDefault="004F27E8" w:rsidP="004F27E8">
      <w:pPr>
        <w:spacing w:line="276" w:lineRule="auto"/>
        <w:ind w:right="-567"/>
        <w:rPr>
          <w:rFonts w:ascii="Sora" w:hAnsi="Sora" w:cs="Sora"/>
        </w:rPr>
      </w:pPr>
      <w:r w:rsidRPr="004F27E8">
        <w:rPr>
          <w:rFonts w:ascii="Sora" w:hAnsi="Sora" w:cs="Sora"/>
          <w:noProof/>
          <w:color w:val="000000"/>
          <w:sz w:val="20"/>
          <w:szCs w:val="20"/>
        </w:rPr>
        <mc:AlternateContent>
          <mc:Choice Requires="wps">
            <w:drawing>
              <wp:anchor distT="45720" distB="45720" distL="114300" distR="114300" simplePos="0" relativeHeight="251659264" behindDoc="0" locked="0" layoutInCell="1" allowOverlap="1" wp14:anchorId="00840A08" wp14:editId="03899BC3">
                <wp:simplePos x="0" y="0"/>
                <wp:positionH relativeFrom="margin">
                  <wp:align>left</wp:align>
                </wp:positionH>
                <wp:positionV relativeFrom="paragraph">
                  <wp:posOffset>363855</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r>
                              <w:rPr>
                                <w:rFonts w:ascii="Sora" w:hAnsi="Sora" w:cs="Sora"/>
                                <w:szCs w:val="20"/>
                              </w:rPr>
                              <w:t>Inverto</w:t>
                            </w:r>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6ECE2ADE"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Phone:</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0;margin-top:28.65pt;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" fillcolor="#99d9d9" stroked="f">
                <v:textbox>
                  <w:txbxContent>
                    <w:p w14:paraId="7C6AC07F" w14:textId="77777777" w:rsidR="009F1694" w:rsidRPr="004F27E8" w:rsidRDefault="009F1694" w:rsidP="009F1694">
                      <w:pPr>
                        <w:pStyle w:val="Footer"/>
                        <w:spacing w:line="360" w:lineRule="auto"/>
                        <w:rPr>
                          <w:rFonts w:ascii="Sora" w:hAnsi="Sora" w:cs="Sora"/>
                          <w:b/>
                          <w:szCs w:val="20"/>
                        </w:rPr>
                      </w:pPr>
                      <w:r w:rsidRPr="004F27E8">
                        <w:rPr>
                          <w:rFonts w:ascii="Sora" w:hAnsi="Sora" w:cs="Sora"/>
                          <w:b/>
                          <w:szCs w:val="20"/>
                        </w:rPr>
                        <w:t>PRESSEKONTAKT</w:t>
                      </w:r>
                    </w:p>
                    <w:p w14:paraId="2667C7F7" w14:textId="75D00C67" w:rsidR="009F1694" w:rsidRPr="004F27E8" w:rsidRDefault="00F55D88" w:rsidP="009F1694">
                      <w:pPr>
                        <w:pStyle w:val="Footer"/>
                        <w:spacing w:line="360" w:lineRule="auto"/>
                        <w:rPr>
                          <w:rFonts w:ascii="Sora" w:hAnsi="Sora" w:cs="Sora"/>
                          <w:szCs w:val="20"/>
                        </w:rPr>
                      </w:pPr>
                      <w:proofErr w:type="spellStart"/>
                      <w:r>
                        <w:rPr>
                          <w:rFonts w:ascii="Sora" w:hAnsi="Sora" w:cs="Sora"/>
                          <w:szCs w:val="20"/>
                        </w:rPr>
                        <w:t>Inverto</w:t>
                      </w:r>
                      <w:proofErr w:type="spellEnd"/>
                      <w:r w:rsidR="009F1694" w:rsidRPr="004F27E8">
                        <w:rPr>
                          <w:rFonts w:ascii="Sora" w:hAnsi="Sora" w:cs="Sora"/>
                          <w:szCs w:val="20"/>
                        </w:rPr>
                        <w:t xml:space="preserve">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sidRPr="00FB663D">
                        <w:rPr>
                          <w:rFonts w:ascii="Sora" w:hAnsi="Sora" w:cs="Sora"/>
                          <w:szCs w:val="20"/>
                          <w:lang w:val="en-US"/>
                        </w:rPr>
                        <w:t>Ina Ullrich</w:t>
                      </w:r>
                      <w:r w:rsidR="009F1694" w:rsidRPr="00FB663D">
                        <w:rPr>
                          <w:rFonts w:ascii="Sora" w:hAnsi="Sora" w:cs="Sora"/>
                          <w:szCs w:val="20"/>
                          <w:lang w:val="en-US"/>
                        </w:rPr>
                        <w:t xml:space="preserve"> • </w:t>
                      </w:r>
                      <w:r w:rsidRPr="00FB663D">
                        <w:rPr>
                          <w:rFonts w:ascii="Sora" w:hAnsi="Sora" w:cs="Sora"/>
                          <w:szCs w:val="20"/>
                          <w:lang w:val="en-US"/>
                        </w:rPr>
                        <w:t>P</w:t>
                      </w:r>
                      <w:r>
                        <w:rPr>
                          <w:rFonts w:ascii="Sora" w:hAnsi="Sora" w:cs="Sora"/>
                          <w:szCs w:val="20"/>
                          <w:lang w:val="en-US"/>
                        </w:rPr>
                        <w:t>R Manager</w:t>
                      </w:r>
                    </w:p>
                    <w:p w14:paraId="5EA3344D" w14:textId="6ECE2ADE" w:rsidR="004F27E8" w:rsidRPr="002E25E5" w:rsidRDefault="00715656" w:rsidP="004F27E8">
                      <w:pPr>
                        <w:pStyle w:val="Footer"/>
                        <w:spacing w:line="360" w:lineRule="auto"/>
                        <w:rPr>
                          <w:rFonts w:ascii="Sora" w:hAnsi="Sora" w:cs="Sora"/>
                          <w:szCs w:val="20"/>
                          <w:lang w:val="en-GB"/>
                        </w:rPr>
                      </w:pPr>
                      <w:r w:rsidRPr="002E25E5">
                        <w:rPr>
                          <w:rFonts w:ascii="Sora" w:hAnsi="Sora" w:cs="Sora"/>
                          <w:szCs w:val="20"/>
                          <w:lang w:val="en-GB"/>
                        </w:rPr>
                        <w:t>Phone:</w:t>
                      </w:r>
                      <w:r w:rsidR="00FB663D">
                        <w:rPr>
                          <w:rFonts w:ascii="Sora" w:hAnsi="Sora" w:cs="Sora"/>
                          <w:szCs w:val="20"/>
                          <w:lang w:val="en-GB"/>
                        </w:rPr>
                        <w:t xml:space="preserve"> +49 162 1015 255 </w:t>
                      </w:r>
                      <w:r w:rsidRPr="002E25E5">
                        <w:rPr>
                          <w:rFonts w:ascii="Sora" w:hAnsi="Sora" w:cs="Sora"/>
                          <w:szCs w:val="20"/>
                          <w:lang w:val="en-GB"/>
                        </w:rPr>
                        <w:t xml:space="preserve">• Email: </w:t>
                      </w:r>
                      <w:r w:rsidR="00FB663D">
                        <w:rPr>
                          <w:rFonts w:ascii="Sora" w:hAnsi="Sora" w:cs="Sora"/>
                          <w:szCs w:val="20"/>
                          <w:lang w:val="en-GB"/>
                        </w:rPr>
                        <w:t>iullrich</w:t>
                      </w:r>
                      <w:r w:rsidR="004F27E8" w:rsidRPr="002E25E5">
                        <w:rPr>
                          <w:rFonts w:ascii="Sora" w:hAnsi="Sora" w:cs="Sora"/>
                          <w:szCs w:val="20"/>
                          <w:lang w:val="en-GB"/>
                        </w:rPr>
                        <w:t>@inverto.com</w:t>
                      </w:r>
                    </w:p>
                    <w:p w14:paraId="20C7C279" w14:textId="1020D6F8" w:rsidR="009F1694" w:rsidRPr="004F27E8" w:rsidRDefault="00715656" w:rsidP="009F1694">
                      <w:pPr>
                        <w:rPr>
                          <w:rFonts w:ascii="Sora" w:hAnsi="Sora" w:cs="Sora"/>
                          <w:szCs w:val="20"/>
                          <w:lang w:val="en-US"/>
                        </w:rPr>
                      </w:pPr>
                      <w:r w:rsidRPr="004F27E8">
                        <w:rPr>
                          <w:rFonts w:ascii="Sora" w:hAnsi="Sora" w:cs="Sora"/>
                          <w:szCs w:val="20"/>
                          <w:lang w:val="en-US"/>
                        </w:rPr>
                        <w:t xml:space="preserve">Web: </w:t>
                      </w:r>
                      <w:r w:rsidR="009F1694" w:rsidRPr="004F27E8">
                        <w:rPr>
                          <w:rFonts w:ascii="Sora" w:hAnsi="Sora" w:cs="Sora"/>
                          <w:szCs w:val="20"/>
                          <w:lang w:val="en-US"/>
                        </w:rPr>
                        <w:t>www.inverto.com</w:t>
                      </w:r>
                      <w:r w:rsidR="00B83C17" w:rsidRPr="004F27E8">
                        <w:rPr>
                          <w:rFonts w:ascii="Sora" w:hAnsi="Sora" w:cs="Sora"/>
                          <w:szCs w:val="20"/>
                          <w:lang w:val="en-US"/>
                        </w:rPr>
                        <w:t>/</w:t>
                      </w:r>
                    </w:p>
                  </w:txbxContent>
                </v:textbox>
                <w10:wrap type="square" anchorx="margin"/>
              </v:shape>
            </w:pict>
          </mc:Fallback>
        </mc:AlternateContent>
      </w:r>
      <w:r w:rsidR="00013D7F" w:rsidRPr="004F27E8">
        <w:rPr>
          <w:rFonts w:ascii="Sora" w:hAnsi="Sora" w:cs="Sora"/>
        </w:rPr>
        <w:t>Mehr Informationen unter</w:t>
      </w:r>
      <w:r w:rsidR="00F55D88">
        <w:rPr>
          <w:rFonts w:ascii="Sora" w:hAnsi="Sora" w:cs="Sora"/>
        </w:rPr>
        <w:t xml:space="preserve"> www.inverto.com</w:t>
      </w:r>
      <w:r w:rsidR="00013D7F" w:rsidRPr="004F27E8">
        <w:rPr>
          <w:rFonts w:ascii="Sora" w:hAnsi="Sora" w:cs="Sora"/>
        </w:rPr>
        <w:t>.</w:t>
      </w:r>
      <w:r w:rsidR="009F1694" w:rsidRPr="004F27E8">
        <w:rPr>
          <w:rFonts w:ascii="Sora" w:hAnsi="Sora" w:cs="Sora"/>
        </w:rPr>
        <w:t> </w:t>
      </w:r>
    </w:p>
    <w:sectPr w:rsidR="00233B84" w:rsidRPr="004F27E8" w:rsidSect="00163D1E">
      <w:headerReference w:type="default" r:id="rId8"/>
      <w:footerReference w:type="even" r:id="rId9"/>
      <w:footerReference w:type="default" r:id="rId10"/>
      <w:headerReference w:type="first" r:id="rId11"/>
      <w:footerReference w:type="first" r:id="rId12"/>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8CD3" w14:textId="77777777" w:rsidR="00A94F46" w:rsidRDefault="00A94F46">
      <w:r>
        <w:separator/>
      </w:r>
    </w:p>
  </w:endnote>
  <w:endnote w:type="continuationSeparator" w:id="0">
    <w:p w14:paraId="099157B1" w14:textId="77777777" w:rsidR="00A94F46" w:rsidRDefault="00A94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DCFB" w14:textId="77777777" w:rsidR="00A94F46" w:rsidRDefault="00A94F46">
      <w:r>
        <w:separator/>
      </w:r>
    </w:p>
  </w:footnote>
  <w:footnote w:type="continuationSeparator" w:id="0">
    <w:p w14:paraId="50E31124" w14:textId="77777777" w:rsidR="00A94F46" w:rsidRDefault="00A94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B27451"/>
    <w:multiLevelType w:val="hybridMultilevel"/>
    <w:tmpl w:val="0F52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A81C58"/>
    <w:multiLevelType w:val="hybridMultilevel"/>
    <w:tmpl w:val="759A0A16"/>
    <w:lvl w:ilvl="0" w:tplc="AE626F7C">
      <w:start w:val="1"/>
      <w:numFmt w:val="decimal"/>
      <w:lvlText w:val="%1."/>
      <w:lvlJc w:val="left"/>
      <w:pPr>
        <w:ind w:left="1068" w:hanging="708"/>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AF17135"/>
    <w:multiLevelType w:val="hybridMultilevel"/>
    <w:tmpl w:val="C12432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5580C10"/>
    <w:multiLevelType w:val="hybridMultilevel"/>
    <w:tmpl w:val="D0144832"/>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21845377">
    <w:abstractNumId w:val="1"/>
  </w:num>
  <w:num w:numId="3" w16cid:durableId="826474904">
    <w:abstractNumId w:val="4"/>
  </w:num>
  <w:num w:numId="4" w16cid:durableId="921909043">
    <w:abstractNumId w:val="3"/>
  </w:num>
  <w:num w:numId="5" w16cid:durableId="1371610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9189F"/>
    <w:rsid w:val="000A48DB"/>
    <w:rsid w:val="000A5D7D"/>
    <w:rsid w:val="000A617F"/>
    <w:rsid w:val="000B14C9"/>
    <w:rsid w:val="000B2F44"/>
    <w:rsid w:val="000B37D9"/>
    <w:rsid w:val="000B3846"/>
    <w:rsid w:val="000B4DC2"/>
    <w:rsid w:val="000C411A"/>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1BD6"/>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01A4"/>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34DF"/>
    <w:rsid w:val="001D5856"/>
    <w:rsid w:val="001D6817"/>
    <w:rsid w:val="001D6863"/>
    <w:rsid w:val="001F5EBB"/>
    <w:rsid w:val="001F7A15"/>
    <w:rsid w:val="002021B8"/>
    <w:rsid w:val="00202DA7"/>
    <w:rsid w:val="00202F54"/>
    <w:rsid w:val="00206928"/>
    <w:rsid w:val="00211B4A"/>
    <w:rsid w:val="00213AF7"/>
    <w:rsid w:val="0021470B"/>
    <w:rsid w:val="00221A6D"/>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53B0"/>
    <w:rsid w:val="002810BF"/>
    <w:rsid w:val="00282387"/>
    <w:rsid w:val="00286041"/>
    <w:rsid w:val="00287AEF"/>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4302"/>
    <w:rsid w:val="00307B37"/>
    <w:rsid w:val="00310FA3"/>
    <w:rsid w:val="00312ADF"/>
    <w:rsid w:val="00313BA1"/>
    <w:rsid w:val="00314A30"/>
    <w:rsid w:val="003210A8"/>
    <w:rsid w:val="003214A8"/>
    <w:rsid w:val="003224FB"/>
    <w:rsid w:val="00325596"/>
    <w:rsid w:val="00326060"/>
    <w:rsid w:val="003320CB"/>
    <w:rsid w:val="0034793D"/>
    <w:rsid w:val="00352AD8"/>
    <w:rsid w:val="003605E3"/>
    <w:rsid w:val="0036065F"/>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0ECA"/>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192B"/>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0314"/>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E7E8C"/>
    <w:rsid w:val="005F18D9"/>
    <w:rsid w:val="005F3B98"/>
    <w:rsid w:val="005F6121"/>
    <w:rsid w:val="005F647F"/>
    <w:rsid w:val="005F65CD"/>
    <w:rsid w:val="006010F5"/>
    <w:rsid w:val="00602071"/>
    <w:rsid w:val="00606797"/>
    <w:rsid w:val="006077DB"/>
    <w:rsid w:val="00611146"/>
    <w:rsid w:val="006150EB"/>
    <w:rsid w:val="00615385"/>
    <w:rsid w:val="00615872"/>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6199"/>
    <w:rsid w:val="0076775A"/>
    <w:rsid w:val="00773634"/>
    <w:rsid w:val="00773D72"/>
    <w:rsid w:val="007743A9"/>
    <w:rsid w:val="00776D20"/>
    <w:rsid w:val="00780871"/>
    <w:rsid w:val="00783345"/>
    <w:rsid w:val="00783BA8"/>
    <w:rsid w:val="007853EF"/>
    <w:rsid w:val="007861EB"/>
    <w:rsid w:val="007932FA"/>
    <w:rsid w:val="0079428E"/>
    <w:rsid w:val="00794A1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78D"/>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4C3E"/>
    <w:rsid w:val="00827CB0"/>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A658D"/>
    <w:rsid w:val="008B2975"/>
    <w:rsid w:val="008B39B3"/>
    <w:rsid w:val="008B56BA"/>
    <w:rsid w:val="008B57DA"/>
    <w:rsid w:val="008C05F3"/>
    <w:rsid w:val="008C1CF1"/>
    <w:rsid w:val="008D3A0F"/>
    <w:rsid w:val="008D4E2A"/>
    <w:rsid w:val="008E3E65"/>
    <w:rsid w:val="008E54E7"/>
    <w:rsid w:val="008F3217"/>
    <w:rsid w:val="008F3DC5"/>
    <w:rsid w:val="008F6CCC"/>
    <w:rsid w:val="009065BF"/>
    <w:rsid w:val="00911D4C"/>
    <w:rsid w:val="00913BDC"/>
    <w:rsid w:val="00915654"/>
    <w:rsid w:val="00915FD3"/>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87FDA"/>
    <w:rsid w:val="00991D9F"/>
    <w:rsid w:val="0099226C"/>
    <w:rsid w:val="00993541"/>
    <w:rsid w:val="009948A1"/>
    <w:rsid w:val="0099562A"/>
    <w:rsid w:val="0099612D"/>
    <w:rsid w:val="00996E5F"/>
    <w:rsid w:val="00996EFF"/>
    <w:rsid w:val="009A649C"/>
    <w:rsid w:val="009B1CE4"/>
    <w:rsid w:val="009B6578"/>
    <w:rsid w:val="009C5DB4"/>
    <w:rsid w:val="009C7073"/>
    <w:rsid w:val="009D3B3E"/>
    <w:rsid w:val="009D682C"/>
    <w:rsid w:val="009E5E4E"/>
    <w:rsid w:val="009E6DD4"/>
    <w:rsid w:val="009E71DA"/>
    <w:rsid w:val="009F1694"/>
    <w:rsid w:val="009F201A"/>
    <w:rsid w:val="009F221F"/>
    <w:rsid w:val="009F2F17"/>
    <w:rsid w:val="00A0371B"/>
    <w:rsid w:val="00A03EB4"/>
    <w:rsid w:val="00A0605C"/>
    <w:rsid w:val="00A1336E"/>
    <w:rsid w:val="00A13BCF"/>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66D12"/>
    <w:rsid w:val="00A72BB4"/>
    <w:rsid w:val="00A77C49"/>
    <w:rsid w:val="00A8252D"/>
    <w:rsid w:val="00A87609"/>
    <w:rsid w:val="00A91F0D"/>
    <w:rsid w:val="00A94F46"/>
    <w:rsid w:val="00A9729B"/>
    <w:rsid w:val="00AA05D3"/>
    <w:rsid w:val="00AA41D0"/>
    <w:rsid w:val="00AA4AD2"/>
    <w:rsid w:val="00AA57C9"/>
    <w:rsid w:val="00AB05AE"/>
    <w:rsid w:val="00AB0E5F"/>
    <w:rsid w:val="00AB649C"/>
    <w:rsid w:val="00AC0656"/>
    <w:rsid w:val="00AC08E7"/>
    <w:rsid w:val="00AC0C74"/>
    <w:rsid w:val="00AC2527"/>
    <w:rsid w:val="00AC3400"/>
    <w:rsid w:val="00AC7B7F"/>
    <w:rsid w:val="00AD12F3"/>
    <w:rsid w:val="00AD1BB4"/>
    <w:rsid w:val="00AE53D2"/>
    <w:rsid w:val="00AE57EB"/>
    <w:rsid w:val="00AF0BF1"/>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02A9"/>
    <w:rsid w:val="00B81E31"/>
    <w:rsid w:val="00B82D01"/>
    <w:rsid w:val="00B83C17"/>
    <w:rsid w:val="00B9094F"/>
    <w:rsid w:val="00B91182"/>
    <w:rsid w:val="00B96A0B"/>
    <w:rsid w:val="00BA07C3"/>
    <w:rsid w:val="00BA13C2"/>
    <w:rsid w:val="00BA157E"/>
    <w:rsid w:val="00BA1D60"/>
    <w:rsid w:val="00BA39BE"/>
    <w:rsid w:val="00BA3FB6"/>
    <w:rsid w:val="00BB021A"/>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1627"/>
    <w:rsid w:val="00C42551"/>
    <w:rsid w:val="00C4260F"/>
    <w:rsid w:val="00C4322B"/>
    <w:rsid w:val="00C43B45"/>
    <w:rsid w:val="00C50D08"/>
    <w:rsid w:val="00C5213C"/>
    <w:rsid w:val="00C53988"/>
    <w:rsid w:val="00C5574F"/>
    <w:rsid w:val="00C56739"/>
    <w:rsid w:val="00C61D51"/>
    <w:rsid w:val="00C6379D"/>
    <w:rsid w:val="00C65597"/>
    <w:rsid w:val="00C66631"/>
    <w:rsid w:val="00C67897"/>
    <w:rsid w:val="00C708D9"/>
    <w:rsid w:val="00C70E37"/>
    <w:rsid w:val="00C70F40"/>
    <w:rsid w:val="00C73E5F"/>
    <w:rsid w:val="00C75914"/>
    <w:rsid w:val="00C75E4B"/>
    <w:rsid w:val="00C81534"/>
    <w:rsid w:val="00C8313B"/>
    <w:rsid w:val="00C8473B"/>
    <w:rsid w:val="00C9413C"/>
    <w:rsid w:val="00C9596C"/>
    <w:rsid w:val="00C95D3B"/>
    <w:rsid w:val="00CA0135"/>
    <w:rsid w:val="00CA02F5"/>
    <w:rsid w:val="00CA4C2E"/>
    <w:rsid w:val="00CA6F7C"/>
    <w:rsid w:val="00CB5EE8"/>
    <w:rsid w:val="00CB6315"/>
    <w:rsid w:val="00CB64CF"/>
    <w:rsid w:val="00CC0121"/>
    <w:rsid w:val="00CC03B0"/>
    <w:rsid w:val="00CC1131"/>
    <w:rsid w:val="00CC258F"/>
    <w:rsid w:val="00CC2F06"/>
    <w:rsid w:val="00CC66D1"/>
    <w:rsid w:val="00CC7E43"/>
    <w:rsid w:val="00CD10C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06E0"/>
    <w:rsid w:val="00D30AEA"/>
    <w:rsid w:val="00D32611"/>
    <w:rsid w:val="00D33F25"/>
    <w:rsid w:val="00D370C8"/>
    <w:rsid w:val="00D37453"/>
    <w:rsid w:val="00D417CC"/>
    <w:rsid w:val="00D45D4E"/>
    <w:rsid w:val="00D50200"/>
    <w:rsid w:val="00D505BB"/>
    <w:rsid w:val="00D50DBD"/>
    <w:rsid w:val="00D51F78"/>
    <w:rsid w:val="00D5361B"/>
    <w:rsid w:val="00D61228"/>
    <w:rsid w:val="00D672F7"/>
    <w:rsid w:val="00D67712"/>
    <w:rsid w:val="00D715BB"/>
    <w:rsid w:val="00D72F48"/>
    <w:rsid w:val="00D73138"/>
    <w:rsid w:val="00D745AB"/>
    <w:rsid w:val="00D75A73"/>
    <w:rsid w:val="00D77637"/>
    <w:rsid w:val="00D77C91"/>
    <w:rsid w:val="00D93F8F"/>
    <w:rsid w:val="00DA0131"/>
    <w:rsid w:val="00DA1AA7"/>
    <w:rsid w:val="00DA28FE"/>
    <w:rsid w:val="00DA310B"/>
    <w:rsid w:val="00DA3A38"/>
    <w:rsid w:val="00DB0CC8"/>
    <w:rsid w:val="00DB0D79"/>
    <w:rsid w:val="00DB1510"/>
    <w:rsid w:val="00DB5B98"/>
    <w:rsid w:val="00DC166E"/>
    <w:rsid w:val="00DC3211"/>
    <w:rsid w:val="00DC472F"/>
    <w:rsid w:val="00DC55A5"/>
    <w:rsid w:val="00DD00B5"/>
    <w:rsid w:val="00DD0743"/>
    <w:rsid w:val="00DD0A3B"/>
    <w:rsid w:val="00DD1D05"/>
    <w:rsid w:val="00DD34EE"/>
    <w:rsid w:val="00DD46B9"/>
    <w:rsid w:val="00DD49F3"/>
    <w:rsid w:val="00DD6CA8"/>
    <w:rsid w:val="00DE33CC"/>
    <w:rsid w:val="00DE4AE3"/>
    <w:rsid w:val="00DE7872"/>
    <w:rsid w:val="00DE7933"/>
    <w:rsid w:val="00DF16A6"/>
    <w:rsid w:val="00DF675F"/>
    <w:rsid w:val="00E02E7E"/>
    <w:rsid w:val="00E03568"/>
    <w:rsid w:val="00E05B43"/>
    <w:rsid w:val="00E06F5C"/>
    <w:rsid w:val="00E07E17"/>
    <w:rsid w:val="00E10A75"/>
    <w:rsid w:val="00E11496"/>
    <w:rsid w:val="00E12C76"/>
    <w:rsid w:val="00E13977"/>
    <w:rsid w:val="00E13DA7"/>
    <w:rsid w:val="00E243EA"/>
    <w:rsid w:val="00E37CD0"/>
    <w:rsid w:val="00E409DD"/>
    <w:rsid w:val="00E41FBD"/>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85020"/>
    <w:rsid w:val="00E9096D"/>
    <w:rsid w:val="00E93384"/>
    <w:rsid w:val="00E955AE"/>
    <w:rsid w:val="00E96943"/>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03FA"/>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B663D"/>
    <w:rsid w:val="00FC117D"/>
    <w:rsid w:val="00FC2466"/>
    <w:rsid w:val="00FC3825"/>
    <w:rsid w:val="00FC5621"/>
    <w:rsid w:val="00FC7129"/>
    <w:rsid w:val="00FC791C"/>
    <w:rsid w:val="00FD0140"/>
    <w:rsid w:val="00FD0ED5"/>
    <w:rsid w:val="00FD1C47"/>
    <w:rsid w:val="00FD6C15"/>
    <w:rsid w:val="00FD6F2B"/>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892740166">
      <w:bodyDiv w:val="1"/>
      <w:marLeft w:val="0"/>
      <w:marRight w:val="0"/>
      <w:marTop w:val="0"/>
      <w:marBottom w:val="0"/>
      <w:divBdr>
        <w:top w:val="none" w:sz="0" w:space="0" w:color="auto"/>
        <w:left w:val="none" w:sz="0" w:space="0" w:color="auto"/>
        <w:bottom w:val="none" w:sz="0" w:space="0" w:color="auto"/>
        <w:right w:val="none" w:sz="0" w:space="0" w:color="auto"/>
      </w:divBdr>
    </w:div>
    <w:div w:id="1145513416">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6538</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Pressemitteilung DE</vt:lpstr>
      <vt:lpstr>Pressemitteilung DE</vt:lpstr>
    </vt:vector>
  </TitlesOfParts>
  <Company>INVERTO</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3</cp:revision>
  <cp:lastPrinted>2018-04-11T07:34:00Z</cp:lastPrinted>
  <dcterms:created xsi:type="dcterms:W3CDTF">2026-08-07T13:27:00Z</dcterms:created>
  <dcterms:modified xsi:type="dcterms:W3CDTF">2026-10-15T09:14:00Z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