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7B2B4" w14:textId="77777777" w:rsidR="001A427D" w:rsidRPr="0030472C" w:rsidRDefault="004015A8" w:rsidP="004F27E8">
      <w:pPr>
        <w:spacing w:line="276" w:lineRule="auto"/>
        <w:ind w:right="-567"/>
        <w:rPr>
          <w:rFonts w:ascii="Sora" w:hAnsi="Sora" w:cs="Sora"/>
          <w:b/>
          <w:bCs/>
          <w:sz w:val="36"/>
          <w:szCs w:val="36"/>
          <w:lang w:val="en-US"/>
        </w:rPr>
      </w:pPr>
      <w:bookmarkStart w:id="0" w:name="_Hlk534903597"/>
      <w:r w:rsidRPr="0030472C">
        <w:rPr>
          <w:rFonts w:ascii="Sora" w:hAnsi="Sora" w:cs="Sora"/>
          <w:b/>
          <w:bCs/>
          <w:sz w:val="36"/>
          <w:szCs w:val="36"/>
          <w:lang w:val="en-US"/>
        </w:rPr>
        <w:t>Growing Pains in Germany’s Data Centers</w:t>
      </w:r>
    </w:p>
    <w:p w14:paraId="3E4371E8" w14:textId="59EBB695" w:rsidR="00E409DD" w:rsidRPr="0030472C" w:rsidRDefault="00A8089F" w:rsidP="004F27E8">
      <w:pPr>
        <w:spacing w:line="276" w:lineRule="auto"/>
        <w:ind w:right="-567"/>
        <w:rPr>
          <w:rFonts w:ascii="Sora" w:hAnsi="Sora" w:cs="Sora"/>
          <w:i/>
          <w:iCs/>
          <w:sz w:val="28"/>
          <w:szCs w:val="28"/>
          <w:lang w:val="en-US"/>
        </w:rPr>
      </w:pPr>
      <w:r w:rsidRPr="0030472C">
        <w:rPr>
          <w:rFonts w:ascii="Sora" w:hAnsi="Sora" w:cs="Sora"/>
          <w:i/>
          <w:iCs/>
          <w:sz w:val="28"/>
          <w:szCs w:val="28"/>
          <w:lang w:val="en-US"/>
        </w:rPr>
        <w:t xml:space="preserve">Germany needs more grid capacity, faster permitting, and resilient supply chains – otherwise infrastructure will put the brakes on the AI boom </w:t>
      </w:r>
    </w:p>
    <w:bookmarkEnd w:id="0"/>
    <w:p w14:paraId="083BE504" w14:textId="77777777" w:rsidR="00345822" w:rsidRPr="0030472C" w:rsidRDefault="00345822" w:rsidP="00790AB4">
      <w:pPr>
        <w:spacing w:line="276" w:lineRule="auto"/>
        <w:ind w:right="-567"/>
        <w:rPr>
          <w:rFonts w:ascii="Sora" w:hAnsi="Sora" w:cs="Sora"/>
          <w:sz w:val="24"/>
          <w:lang w:val="en-US"/>
        </w:rPr>
      </w:pPr>
    </w:p>
    <w:p w14:paraId="47B4A0F6" w14:textId="6E5CCD14" w:rsidR="00BD5BF7" w:rsidRPr="0030472C" w:rsidRDefault="00BD5BF7" w:rsidP="00BD5BF7">
      <w:pPr>
        <w:pStyle w:val="Listenabsatz"/>
        <w:numPr>
          <w:ilvl w:val="0"/>
          <w:numId w:val="3"/>
        </w:numPr>
        <w:spacing w:line="276" w:lineRule="auto"/>
        <w:ind w:right="-567"/>
        <w:rPr>
          <w:rFonts w:ascii="Sora" w:hAnsi="Sora" w:cs="Sora"/>
          <w:b/>
          <w:bCs/>
          <w:szCs w:val="22"/>
          <w:lang w:val="en-US"/>
        </w:rPr>
      </w:pPr>
      <w:r w:rsidRPr="0030472C">
        <w:rPr>
          <w:rFonts w:ascii="Sora" w:hAnsi="Sora" w:cs="Sora"/>
          <w:b/>
          <w:bCs/>
          <w:szCs w:val="22"/>
          <w:lang w:val="en-US"/>
        </w:rPr>
        <w:t>Germany is Europe’s largest data center market – yet grid bottlenecks, lengthy permitting procedures, and strained supply chains are jeopardizing the necessary expansion.</w:t>
      </w:r>
    </w:p>
    <w:p w14:paraId="10A8F4E8" w14:textId="0FD12D98" w:rsidR="0030472C" w:rsidRPr="0030472C" w:rsidRDefault="00A8089F" w:rsidP="0030472C">
      <w:pPr>
        <w:pStyle w:val="Listenabsatz"/>
        <w:numPr>
          <w:ilvl w:val="0"/>
          <w:numId w:val="3"/>
        </w:numPr>
        <w:spacing w:line="276" w:lineRule="auto"/>
        <w:ind w:right="-567"/>
        <w:rPr>
          <w:rFonts w:ascii="Sora" w:hAnsi="Sora" w:cs="Sora"/>
          <w:b/>
          <w:bCs/>
          <w:lang w:val="en-US"/>
        </w:rPr>
      </w:pPr>
      <w:r w:rsidRPr="0030472C">
        <w:rPr>
          <w:rFonts w:ascii="Sora" w:hAnsi="Sora" w:cs="Sora"/>
          <w:b/>
          <w:bCs/>
          <w:lang w:val="en-US"/>
        </w:rPr>
        <w:t xml:space="preserve">If infrastructure </w:t>
      </w:r>
      <w:r w:rsidR="0030472C" w:rsidRPr="0030472C">
        <w:rPr>
          <w:rFonts w:ascii="Sora" w:hAnsi="Sora" w:cs="Sora"/>
          <w:b/>
          <w:bCs/>
          <w:lang w:val="en-US"/>
        </w:rPr>
        <w:t>does not keep pace with demand, companies will be limited in scaling AI applications that require data sovereignty, low latency, or dedicated computing power. As a result, Germany risks falling further behind in digital innovation and competitiveness.</w:t>
      </w:r>
    </w:p>
    <w:p w14:paraId="66D2E5B0" w14:textId="3CC822A7" w:rsidR="005802BF" w:rsidRPr="0030472C" w:rsidRDefault="00587DDB" w:rsidP="005158EC">
      <w:pPr>
        <w:pStyle w:val="Listenabsatz"/>
        <w:numPr>
          <w:ilvl w:val="0"/>
          <w:numId w:val="3"/>
        </w:numPr>
        <w:spacing w:line="276" w:lineRule="auto"/>
        <w:ind w:right="-567"/>
        <w:rPr>
          <w:rFonts w:ascii="Sora" w:hAnsi="Sora" w:cs="Sora"/>
          <w:b/>
          <w:bCs/>
          <w:szCs w:val="22"/>
          <w:lang w:val="en-US"/>
        </w:rPr>
      </w:pPr>
      <w:r w:rsidRPr="0030472C">
        <w:rPr>
          <w:rFonts w:ascii="Sora" w:hAnsi="Sora" w:cs="Sora"/>
          <w:b/>
          <w:bCs/>
          <w:szCs w:val="22"/>
          <w:lang w:val="en-US"/>
        </w:rPr>
        <w:t>Data center operators, infrastructure partners, and public authorities must work closely together to create the necessary capacity.</w:t>
      </w:r>
    </w:p>
    <w:p w14:paraId="2637CC0C" w14:textId="77777777" w:rsidR="004B362F" w:rsidRPr="0030472C" w:rsidRDefault="004B362F" w:rsidP="00C70F40">
      <w:pPr>
        <w:spacing w:line="276" w:lineRule="auto"/>
        <w:ind w:right="-567"/>
        <w:rPr>
          <w:rFonts w:ascii="Sora" w:hAnsi="Sora" w:cs="Sora"/>
          <w:szCs w:val="22"/>
          <w:lang w:val="en-US"/>
        </w:rPr>
      </w:pPr>
    </w:p>
    <w:p w14:paraId="6C7C7DF4" w14:textId="343B41B8" w:rsidR="005D4D20" w:rsidRPr="0030472C" w:rsidRDefault="00C70F40" w:rsidP="0A5F0DB5">
      <w:pPr>
        <w:spacing w:line="276" w:lineRule="auto"/>
        <w:ind w:right="-567"/>
        <w:rPr>
          <w:rFonts w:ascii="Sora" w:hAnsi="Sora" w:cs="Sora"/>
          <w:lang w:val="en-US"/>
        </w:rPr>
      </w:pPr>
      <w:r w:rsidRPr="0030472C">
        <w:rPr>
          <w:rFonts w:ascii="Sora" w:hAnsi="Sora" w:cs="Sora"/>
          <w:i/>
          <w:iCs/>
          <w:lang w:val="en-US"/>
        </w:rPr>
        <w:t>Cologne, June 15, 2026.</w:t>
      </w:r>
      <w:r w:rsidRPr="0030472C">
        <w:rPr>
          <w:rFonts w:ascii="Sora" w:hAnsi="Sora" w:cs="Sora"/>
          <w:lang w:val="en-US"/>
        </w:rPr>
        <w:t xml:space="preserve"> Germany is Europe’s largest data center market. Around 2,000 data centers with a connected capacity of more than 100 kilowatts are currently in operation. Together they deliver a total capacity of 2,980 megawatts, consuming more than 21 terawatt hours of electricity per year. That sounds impressive – yet it is still not enough, says Kevin Domnick, Principal and energy infrastructure expert at Inverto, the procurement and supply chain management subsidiary of Boston Consulting Group (BCG). </w:t>
      </w:r>
    </w:p>
    <w:p w14:paraId="1E803153" w14:textId="77777777" w:rsidR="005D4D20" w:rsidRPr="0030472C" w:rsidRDefault="005D4D20" w:rsidP="00A750FD">
      <w:pPr>
        <w:spacing w:line="276" w:lineRule="auto"/>
        <w:ind w:right="-567"/>
        <w:rPr>
          <w:rFonts w:ascii="Sora" w:hAnsi="Sora" w:cs="Sora"/>
          <w:szCs w:val="22"/>
          <w:lang w:val="en-US"/>
        </w:rPr>
      </w:pPr>
    </w:p>
    <w:p w14:paraId="294C723D" w14:textId="3EADC9FF" w:rsidR="00A750FD" w:rsidRPr="0030472C" w:rsidRDefault="004B362F" w:rsidP="00A750FD">
      <w:pPr>
        <w:spacing w:line="276" w:lineRule="auto"/>
        <w:ind w:right="-567"/>
        <w:rPr>
          <w:rFonts w:ascii="Sora" w:hAnsi="Sora" w:cs="Sora"/>
          <w:szCs w:val="22"/>
          <w:lang w:val="en-US"/>
        </w:rPr>
      </w:pPr>
      <w:r w:rsidRPr="0030472C">
        <w:rPr>
          <w:rFonts w:ascii="Sora" w:hAnsi="Sora" w:cs="Sora"/>
          <w:szCs w:val="22"/>
          <w:lang w:val="en-US"/>
        </w:rPr>
        <w:t xml:space="preserve">According to real estate services firm CBRE, 65 percent of newly leased data center capacity in Europe is already based on pre-leases – companies that plan their needs too late are now simply unable to find space. As artificial intelligence (AI) continues </w:t>
      </w:r>
      <w:r w:rsidR="0030472C" w:rsidRPr="0030472C">
        <w:rPr>
          <w:rFonts w:ascii="Sora" w:hAnsi="Sora" w:cs="Sora"/>
          <w:szCs w:val="22"/>
          <w:lang w:val="en-US"/>
        </w:rPr>
        <w:t>to</w:t>
      </w:r>
      <w:r w:rsidRPr="0030472C">
        <w:rPr>
          <w:rFonts w:ascii="Sora" w:hAnsi="Sora" w:cs="Sora"/>
          <w:szCs w:val="22"/>
          <w:lang w:val="en-US"/>
        </w:rPr>
        <w:t xml:space="preserve"> advance, demand is set to surge </w:t>
      </w:r>
      <w:r w:rsidR="0030472C">
        <w:rPr>
          <w:rFonts w:ascii="Sora" w:hAnsi="Sora" w:cs="Sora"/>
          <w:szCs w:val="22"/>
          <w:lang w:val="en-US"/>
        </w:rPr>
        <w:t>even more</w:t>
      </w:r>
      <w:r w:rsidRPr="0030472C">
        <w:rPr>
          <w:rFonts w:ascii="Sora" w:hAnsi="Sora" w:cs="Sora"/>
          <w:szCs w:val="22"/>
          <w:lang w:val="en-US"/>
        </w:rPr>
        <w:t xml:space="preserve">. In its data center strategy published in March 2026, the German federal government set the target of at least doubling data center capacity by 2030 and quadrupling AI capacity. The </w:t>
      </w:r>
      <w:proofErr w:type="spellStart"/>
      <w:r w:rsidRPr="0030472C">
        <w:rPr>
          <w:rFonts w:ascii="Sora" w:hAnsi="Sora" w:cs="Sora"/>
          <w:szCs w:val="22"/>
          <w:lang w:val="en-US"/>
        </w:rPr>
        <w:t>Borderstep</w:t>
      </w:r>
      <w:proofErr w:type="spellEnd"/>
      <w:r w:rsidRPr="0030472C">
        <w:rPr>
          <w:rFonts w:ascii="Sora" w:hAnsi="Sora" w:cs="Sora"/>
          <w:szCs w:val="22"/>
          <w:lang w:val="en-US"/>
        </w:rPr>
        <w:t xml:space="preserve"> Institute expects total capacity to grow to 5,000 megawatts by 2030. The expectations are clear – yet growth is stalling, because three structural bottlenecks are increasingly becoming a problem, explains Domnick.</w:t>
      </w:r>
    </w:p>
    <w:p w14:paraId="6AC27371" w14:textId="77777777" w:rsidR="008A2DB7" w:rsidRPr="0030472C" w:rsidRDefault="008A2DB7" w:rsidP="00A750FD">
      <w:pPr>
        <w:spacing w:line="276" w:lineRule="auto"/>
        <w:ind w:right="-567"/>
        <w:rPr>
          <w:rFonts w:ascii="Sora" w:hAnsi="Sora" w:cs="Sora"/>
          <w:szCs w:val="22"/>
          <w:lang w:val="en-US"/>
        </w:rPr>
      </w:pPr>
    </w:p>
    <w:p w14:paraId="7281888C" w14:textId="2A4566B0" w:rsidR="0073009D" w:rsidRPr="0030472C" w:rsidRDefault="00A24225" w:rsidP="0A5F0DB5">
      <w:pPr>
        <w:spacing w:line="276" w:lineRule="auto"/>
        <w:ind w:right="-567"/>
        <w:rPr>
          <w:rFonts w:ascii="Sora" w:hAnsi="Sora" w:cs="Sora"/>
          <w:lang w:val="en-US"/>
        </w:rPr>
      </w:pPr>
      <w:r w:rsidRPr="0030472C">
        <w:rPr>
          <w:rFonts w:ascii="Sora" w:hAnsi="Sora" w:cs="Sora"/>
          <w:lang w:val="en-US"/>
        </w:rPr>
        <w:t xml:space="preserve">The first and most pressing bottleneck is energy. The federal </w:t>
      </w:r>
      <w:proofErr w:type="gramStart"/>
      <w:r w:rsidRPr="0030472C">
        <w:rPr>
          <w:rFonts w:ascii="Sora" w:hAnsi="Sora" w:cs="Sora"/>
          <w:lang w:val="en-US"/>
        </w:rPr>
        <w:t>government itself</w:t>
      </w:r>
      <w:proofErr w:type="gramEnd"/>
      <w:r w:rsidRPr="0030472C">
        <w:rPr>
          <w:rFonts w:ascii="Sora" w:hAnsi="Sora" w:cs="Sora"/>
          <w:lang w:val="en-US"/>
        </w:rPr>
        <w:t xml:space="preserve"> identifies the problem in its own strategy: connection capacities are scarce, connection timelines are long, and the coordination between energy and site planning is inadequate. </w:t>
      </w:r>
      <w:r w:rsidRPr="0030472C">
        <w:rPr>
          <w:rFonts w:ascii="Sora" w:eastAsia="Sora" w:hAnsi="Sora" w:cs="Sora"/>
          <w:szCs w:val="22"/>
          <w:lang w:val="en-US"/>
        </w:rPr>
        <w:t xml:space="preserve">“The energy demand of a data center is 10 to 50 times higher than that of an office building. That is what makes this issue </w:t>
      </w:r>
      <w:r w:rsidRPr="0030472C">
        <w:rPr>
          <w:rFonts w:ascii="Sora" w:eastAsia="Sora" w:hAnsi="Sora" w:cs="Sora"/>
          <w:szCs w:val="22"/>
          <w:lang w:val="en-US"/>
        </w:rPr>
        <w:lastRenderedPageBreak/>
        <w:t xml:space="preserve">so critical from an energy perspective. In addition, </w:t>
      </w:r>
      <w:r w:rsidRPr="0030472C">
        <w:rPr>
          <w:rFonts w:ascii="Sora" w:eastAsia="Sora" w:hAnsi="Sora" w:cs="Sora"/>
          <w:color w:val="242424"/>
          <w:szCs w:val="22"/>
          <w:lang w:val="en-US"/>
        </w:rPr>
        <w:t>data centers have a significantly higher power density and near-continuous load profiles around the clock – including at night, when solar power is unavailable, for example</w:t>
      </w:r>
      <w:r w:rsidRPr="0030472C">
        <w:rPr>
          <w:rFonts w:ascii="Sora" w:eastAsia="Sora" w:hAnsi="Sora" w:cs="Sora"/>
          <w:szCs w:val="22"/>
          <w:lang w:val="en-US"/>
        </w:rPr>
        <w:t>”,</w:t>
      </w:r>
      <w:r w:rsidRPr="0030472C">
        <w:rPr>
          <w:rFonts w:ascii="Sora" w:hAnsi="Sora" w:cs="Sora"/>
          <w:lang w:val="en-US"/>
        </w:rPr>
        <w:t xml:space="preserve"> explains Domnick.</w:t>
      </w:r>
    </w:p>
    <w:p w14:paraId="0E3A7483" w14:textId="77777777" w:rsidR="0073009D" w:rsidRPr="0030472C" w:rsidRDefault="0073009D" w:rsidP="00A750FD">
      <w:pPr>
        <w:spacing w:line="276" w:lineRule="auto"/>
        <w:ind w:right="-567"/>
        <w:rPr>
          <w:rFonts w:ascii="Sora" w:hAnsi="Sora" w:cs="Sora"/>
          <w:szCs w:val="22"/>
          <w:lang w:val="en-US"/>
        </w:rPr>
      </w:pPr>
    </w:p>
    <w:p w14:paraId="48C52AA5" w14:textId="44D0D813" w:rsidR="00DC17AD" w:rsidRPr="0030472C" w:rsidRDefault="00DC17AD" w:rsidP="00A750FD">
      <w:pPr>
        <w:spacing w:line="276" w:lineRule="auto"/>
        <w:ind w:right="-567"/>
        <w:rPr>
          <w:rFonts w:ascii="Sora" w:hAnsi="Sora" w:cs="Sora"/>
          <w:b/>
          <w:bCs/>
          <w:szCs w:val="22"/>
          <w:lang w:val="en-US"/>
        </w:rPr>
      </w:pPr>
      <w:r w:rsidRPr="0030472C">
        <w:rPr>
          <w:rFonts w:ascii="Sora" w:hAnsi="Sora" w:cs="Sora"/>
          <w:b/>
          <w:bCs/>
          <w:szCs w:val="22"/>
          <w:lang w:val="en-US"/>
        </w:rPr>
        <w:t>Rhine-Main Region Has Strongest Infrastructure but Lacks Space for Further Expansion</w:t>
      </w:r>
    </w:p>
    <w:p w14:paraId="41B23856" w14:textId="31998438" w:rsidR="0014780D" w:rsidRPr="0030472C" w:rsidRDefault="0014780D" w:rsidP="0A5F0DB5">
      <w:pPr>
        <w:spacing w:line="276" w:lineRule="auto"/>
        <w:ind w:right="-567"/>
        <w:rPr>
          <w:rFonts w:ascii="Sora" w:eastAsia="Sora" w:hAnsi="Sora" w:cs="Sora"/>
          <w:color w:val="242424"/>
          <w:szCs w:val="22"/>
          <w:lang w:val="en-US"/>
        </w:rPr>
      </w:pPr>
      <w:r w:rsidRPr="0030472C">
        <w:rPr>
          <w:rFonts w:ascii="Sora" w:hAnsi="Sora" w:cs="Sora"/>
          <w:lang w:val="en-US"/>
        </w:rPr>
        <w:t xml:space="preserve">The Frankfurt/Rhine-Main region is home to more than a third of Germany’s data centers. In 2025 it became the second European market to cross the 1-gigawatt mark. This is no coincidence: the region benefits from a locational advantage owing to its strong banking sector with its high data protection requirements and AI needs. In addition, one of the world’s most important internet hubs is located </w:t>
      </w:r>
      <w:proofErr w:type="spellStart"/>
      <w:proofErr w:type="gramStart"/>
      <w:r w:rsidRPr="0030472C">
        <w:rPr>
          <w:rFonts w:ascii="Sora" w:hAnsi="Sora" w:cs="Sora"/>
          <w:lang w:val="en-US"/>
        </w:rPr>
        <w:t>here.Yet</w:t>
      </w:r>
      <w:proofErr w:type="spellEnd"/>
      <w:proofErr w:type="gramEnd"/>
      <w:r w:rsidRPr="0030472C">
        <w:rPr>
          <w:rFonts w:ascii="Sora" w:hAnsi="Sora" w:cs="Sora"/>
          <w:lang w:val="en-US"/>
        </w:rPr>
        <w:t xml:space="preserve"> in the Rhine-Main region, space and the power grid are already reaching their limits. Kevin Domnick: “We have a head start thanks to the existing infrastr</w:t>
      </w:r>
      <w:r w:rsidRPr="0030472C">
        <w:rPr>
          <w:rFonts w:ascii="Sora" w:eastAsia="Sora" w:hAnsi="Sora" w:cs="Sora"/>
          <w:szCs w:val="22"/>
          <w:lang w:val="en-US"/>
        </w:rPr>
        <w:t>ucture. We should not squander it!”</w:t>
      </w:r>
    </w:p>
    <w:p w14:paraId="229F9DD7" w14:textId="3CA898A4" w:rsidR="0014780D" w:rsidRPr="0030472C" w:rsidRDefault="0014780D" w:rsidP="0A5F0DB5">
      <w:pPr>
        <w:spacing w:line="276" w:lineRule="auto"/>
        <w:ind w:right="-567"/>
        <w:rPr>
          <w:rFonts w:ascii="Sora" w:eastAsia="Sora" w:hAnsi="Sora" w:cs="Sora"/>
          <w:szCs w:val="22"/>
          <w:lang w:val="en-US"/>
        </w:rPr>
      </w:pPr>
    </w:p>
    <w:p w14:paraId="791B9D1D" w14:textId="3085242A" w:rsidR="0014780D" w:rsidRPr="0030472C" w:rsidRDefault="00697EB6" w:rsidP="0A5F0DB5">
      <w:pPr>
        <w:spacing w:line="276" w:lineRule="auto"/>
        <w:ind w:right="-567"/>
        <w:rPr>
          <w:rFonts w:ascii="Sora" w:hAnsi="Sora" w:cs="Sora"/>
          <w:lang w:val="en-US"/>
        </w:rPr>
      </w:pPr>
      <w:r w:rsidRPr="0030472C">
        <w:rPr>
          <w:rFonts w:ascii="Sora" w:hAnsi="Sora" w:cs="Sora"/>
          <w:lang w:val="en-US"/>
        </w:rPr>
        <w:t xml:space="preserve">Bavaria ranks second among German states with 420 megawatts. According to the </w:t>
      </w:r>
      <w:proofErr w:type="spellStart"/>
      <w:r w:rsidRPr="0030472C">
        <w:rPr>
          <w:rFonts w:ascii="Sora" w:hAnsi="Sora" w:cs="Sora"/>
          <w:lang w:val="en-US"/>
        </w:rPr>
        <w:t>Borderstep</w:t>
      </w:r>
      <w:proofErr w:type="spellEnd"/>
      <w:r w:rsidRPr="0030472C">
        <w:rPr>
          <w:rFonts w:ascii="Sora" w:hAnsi="Sora" w:cs="Sora"/>
          <w:lang w:val="en-US"/>
        </w:rPr>
        <w:t xml:space="preserve"> Institute, grid expansion capacities of well over 1,000 megawatts are needed there alone to meet market growth expected by 2030. “The grid expansion is simply not keeping pace with this demand,” says Domnick.</w:t>
      </w:r>
    </w:p>
    <w:p w14:paraId="73DDFED2" w14:textId="77777777" w:rsidR="005D4D20" w:rsidRPr="0030472C" w:rsidRDefault="005D4D20" w:rsidP="00A750FD">
      <w:pPr>
        <w:spacing w:line="276" w:lineRule="auto"/>
        <w:ind w:right="-567"/>
        <w:rPr>
          <w:rFonts w:ascii="Sora" w:hAnsi="Sora" w:cs="Sora"/>
          <w:szCs w:val="22"/>
          <w:lang w:val="en-US"/>
        </w:rPr>
      </w:pPr>
    </w:p>
    <w:p w14:paraId="22CBF76E" w14:textId="51129334" w:rsidR="00DC17AD" w:rsidRPr="0030472C" w:rsidRDefault="00DC17AD" w:rsidP="00A750FD">
      <w:pPr>
        <w:spacing w:line="276" w:lineRule="auto"/>
        <w:ind w:right="-567"/>
        <w:rPr>
          <w:rFonts w:ascii="Sora" w:hAnsi="Sora" w:cs="Sora"/>
          <w:b/>
          <w:bCs/>
          <w:szCs w:val="22"/>
          <w:lang w:val="en-US"/>
        </w:rPr>
      </w:pPr>
      <w:r w:rsidRPr="0030472C">
        <w:rPr>
          <w:rFonts w:ascii="Sora" w:hAnsi="Sora" w:cs="Sora"/>
          <w:b/>
          <w:bCs/>
          <w:szCs w:val="22"/>
          <w:lang w:val="en-US"/>
        </w:rPr>
        <w:t>Competitiveness at Risk from Supply Shortages and Lengthy Approval Processes</w:t>
      </w:r>
    </w:p>
    <w:p w14:paraId="20861E54" w14:textId="0BEA3768" w:rsidR="00A750FD" w:rsidRPr="0030472C" w:rsidRDefault="00A750FD" w:rsidP="0A5F0DB5">
      <w:pPr>
        <w:spacing w:line="276" w:lineRule="auto"/>
        <w:ind w:right="-567"/>
        <w:rPr>
          <w:rFonts w:ascii="Sora" w:hAnsi="Sora" w:cs="Sora"/>
          <w:lang w:val="en-US"/>
        </w:rPr>
      </w:pPr>
      <w:r w:rsidRPr="0030472C">
        <w:rPr>
          <w:rFonts w:ascii="Sora" w:hAnsi="Sora" w:cs="Sora"/>
          <w:lang w:val="en-US"/>
        </w:rPr>
        <w:t xml:space="preserve">The second bottleneck concerns supply chains. According to a survey by DP World and Supply Chain Dive, 51 percent of data center operators reported supplier or manufacturer failures in 2025, while 44 percent reported component and material shortages. Every delay in the supply chain does not merely push back a construction deadline – it delays AI infrastructure projects and jeopardizes the competitiveness of the </w:t>
      </w:r>
      <w:proofErr w:type="gramStart"/>
      <w:r w:rsidRPr="0030472C">
        <w:rPr>
          <w:rFonts w:ascii="Sora" w:hAnsi="Sora" w:cs="Sora"/>
          <w:lang w:val="en-US"/>
        </w:rPr>
        <w:t>location as a whole</w:t>
      </w:r>
      <w:proofErr w:type="gramEnd"/>
      <w:r w:rsidRPr="0030472C">
        <w:rPr>
          <w:rFonts w:ascii="Sora" w:hAnsi="Sora" w:cs="Sora"/>
          <w:lang w:val="en-US"/>
        </w:rPr>
        <w:t>.</w:t>
      </w:r>
    </w:p>
    <w:p w14:paraId="00EE4684" w14:textId="77777777" w:rsidR="00780290" w:rsidRPr="0030472C" w:rsidRDefault="00780290" w:rsidP="00A750FD">
      <w:pPr>
        <w:spacing w:line="276" w:lineRule="auto"/>
        <w:ind w:right="-567"/>
        <w:rPr>
          <w:rFonts w:ascii="Sora" w:hAnsi="Sora" w:cs="Sora"/>
          <w:szCs w:val="22"/>
          <w:lang w:val="en-US"/>
        </w:rPr>
      </w:pPr>
    </w:p>
    <w:p w14:paraId="544650F5" w14:textId="1188F26A" w:rsidR="00A750FD" w:rsidRPr="0030472C" w:rsidRDefault="00A750FD" w:rsidP="00A750FD">
      <w:pPr>
        <w:spacing w:line="276" w:lineRule="auto"/>
        <w:ind w:right="-567"/>
        <w:rPr>
          <w:rFonts w:ascii="Sora" w:hAnsi="Sora" w:cs="Sora"/>
          <w:szCs w:val="22"/>
          <w:lang w:val="en-US"/>
        </w:rPr>
      </w:pPr>
      <w:r w:rsidRPr="00CB0A4C">
        <w:rPr>
          <w:rFonts w:ascii="Sora" w:hAnsi="Sora" w:cs="Sora"/>
          <w:szCs w:val="22"/>
          <w:lang w:val="en-US"/>
        </w:rPr>
        <w:t>The</w:t>
      </w:r>
      <w:r w:rsidRPr="0030472C">
        <w:rPr>
          <w:rFonts w:ascii="Sora" w:hAnsi="Sora" w:cs="Sora"/>
          <w:szCs w:val="22"/>
          <w:lang w:val="en-US"/>
        </w:rPr>
        <w:t xml:space="preserve"> third bottleneck is lengthy permitting procedures. Planning and approval processes are perceived by the industry as too long, too complex, and too inconsistent, and are </w:t>
      </w:r>
      <w:r w:rsidR="00CB0A4C">
        <w:rPr>
          <w:rFonts w:ascii="Sora" w:hAnsi="Sora" w:cs="Sora"/>
          <w:szCs w:val="22"/>
          <w:lang w:val="en-US"/>
        </w:rPr>
        <w:t>usually</w:t>
      </w:r>
      <w:r w:rsidRPr="0030472C">
        <w:rPr>
          <w:rFonts w:ascii="Sora" w:hAnsi="Sora" w:cs="Sora"/>
          <w:szCs w:val="22"/>
          <w:lang w:val="en-US"/>
        </w:rPr>
        <w:t xml:space="preserve"> not designed for large campus projects. This is not solely a German problem: according to CBRE, even 26 percent less data center capacity was approved in the European market in the first half of 2025 compared with the same period the previous year.</w:t>
      </w:r>
    </w:p>
    <w:p w14:paraId="276A410A" w14:textId="77777777" w:rsidR="0077468E" w:rsidRPr="0030472C" w:rsidRDefault="0077468E" w:rsidP="00A750FD">
      <w:pPr>
        <w:spacing w:line="276" w:lineRule="auto"/>
        <w:ind w:right="-567"/>
        <w:rPr>
          <w:rFonts w:ascii="Sora" w:hAnsi="Sora" w:cs="Sora"/>
          <w:szCs w:val="22"/>
          <w:lang w:val="en-US"/>
        </w:rPr>
      </w:pPr>
    </w:p>
    <w:p w14:paraId="71602F5F" w14:textId="11E93DB4" w:rsidR="0077468E" w:rsidRPr="0030472C" w:rsidRDefault="0077468E" w:rsidP="0A5F0DB5">
      <w:pPr>
        <w:spacing w:line="276" w:lineRule="auto"/>
        <w:ind w:right="-567"/>
        <w:rPr>
          <w:rFonts w:ascii="Sora" w:hAnsi="Sora" w:cs="Sora"/>
          <w:lang w:val="en-US"/>
        </w:rPr>
      </w:pPr>
      <w:r w:rsidRPr="0030472C">
        <w:rPr>
          <w:rFonts w:ascii="Sora" w:hAnsi="Sora" w:cs="Sora"/>
          <w:lang w:val="en-US"/>
        </w:rPr>
        <w:t xml:space="preserve">Overcoming the bottleneck requires more than individual investment decisions. Coordinated collaboration between operators, energy companies, and public authorities is needed. Operators </w:t>
      </w:r>
      <w:r w:rsidR="00CB0A4C">
        <w:rPr>
          <w:rFonts w:ascii="Sora" w:hAnsi="Sora" w:cs="Sora"/>
          <w:lang w:val="en-US"/>
        </w:rPr>
        <w:t>should</w:t>
      </w:r>
      <w:r w:rsidRPr="0030472C">
        <w:rPr>
          <w:rFonts w:ascii="Sora" w:hAnsi="Sora" w:cs="Sora"/>
          <w:lang w:val="en-US"/>
        </w:rPr>
        <w:t xml:space="preserve"> form long-</w:t>
      </w:r>
      <w:r w:rsidRPr="0030472C">
        <w:rPr>
          <w:rFonts w:ascii="Sora" w:hAnsi="Sora" w:cs="Sora"/>
          <w:lang w:val="en-US"/>
        </w:rPr>
        <w:lastRenderedPageBreak/>
        <w:t xml:space="preserve">term partnerships with energy suppliers at an early stage to ensure a reliable </w:t>
      </w:r>
      <w:r w:rsidR="00CB0A4C">
        <w:rPr>
          <w:rFonts w:ascii="Sora" w:hAnsi="Sora" w:cs="Sora"/>
          <w:lang w:val="en-US"/>
        </w:rPr>
        <w:t xml:space="preserve">energy </w:t>
      </w:r>
      <w:r w:rsidRPr="0030472C">
        <w:rPr>
          <w:rFonts w:ascii="Sora" w:hAnsi="Sora" w:cs="Sora"/>
          <w:lang w:val="en-US"/>
        </w:rPr>
        <w:t xml:space="preserve">supply for planned data centers. Authorities must accelerate permitting and align site planning with grid expansion. Energy companies must provide </w:t>
      </w:r>
      <w:r w:rsidR="00CB0A4C">
        <w:rPr>
          <w:rFonts w:ascii="Sora" w:hAnsi="Sora" w:cs="Sora"/>
          <w:lang w:val="en-US"/>
        </w:rPr>
        <w:t>an</w:t>
      </w:r>
      <w:r w:rsidRPr="0030472C">
        <w:rPr>
          <w:rFonts w:ascii="Sora" w:hAnsi="Sora" w:cs="Sora"/>
          <w:lang w:val="en-US"/>
        </w:rPr>
        <w:t xml:space="preserve"> infrastructure capable of meeting rising energy demand. “In markets with </w:t>
      </w:r>
      <w:proofErr w:type="gramStart"/>
      <w:r w:rsidRPr="0030472C">
        <w:rPr>
          <w:rFonts w:ascii="Sora" w:hAnsi="Sora" w:cs="Sora"/>
          <w:lang w:val="en-US"/>
        </w:rPr>
        <w:t>bottlenecks in particular, it</w:t>
      </w:r>
      <w:proofErr w:type="gramEnd"/>
      <w:r w:rsidRPr="0030472C">
        <w:rPr>
          <w:rFonts w:ascii="Sora" w:hAnsi="Sora" w:cs="Sora"/>
          <w:lang w:val="en-US"/>
        </w:rPr>
        <w:t xml:space="preserve"> is crucial to build long-term partnerships and </w:t>
      </w:r>
      <w:r w:rsidR="00CB0A4C">
        <w:rPr>
          <w:rFonts w:ascii="Sora" w:hAnsi="Sora" w:cs="Sora"/>
          <w:lang w:val="en-US"/>
        </w:rPr>
        <w:t>agree on</w:t>
      </w:r>
      <w:r w:rsidRPr="0030472C">
        <w:rPr>
          <w:rFonts w:ascii="Sora" w:hAnsi="Sora" w:cs="Sora"/>
          <w:lang w:val="en-US"/>
        </w:rPr>
        <w:t xml:space="preserve"> binding commitments. Only </w:t>
      </w:r>
      <w:r w:rsidR="00CB0A4C">
        <w:rPr>
          <w:rFonts w:ascii="Sora" w:hAnsi="Sora" w:cs="Sora"/>
          <w:lang w:val="en-US"/>
        </w:rPr>
        <w:t>by this</w:t>
      </w:r>
      <w:r w:rsidRPr="0030472C">
        <w:rPr>
          <w:rFonts w:ascii="Sora" w:hAnsi="Sora" w:cs="Sora"/>
          <w:lang w:val="en-US"/>
        </w:rPr>
        <w:t xml:space="preserve"> can the required capacities and innovations be developed,” says Domnick. Without</w:t>
      </w:r>
      <w:r w:rsidR="00CB0A4C">
        <w:rPr>
          <w:rFonts w:ascii="Sora" w:hAnsi="Sora" w:cs="Sora"/>
          <w:lang w:val="en-US"/>
        </w:rPr>
        <w:t>,</w:t>
      </w:r>
      <w:r w:rsidRPr="0030472C">
        <w:rPr>
          <w:rFonts w:ascii="Sora" w:hAnsi="Sora" w:cs="Sora"/>
          <w:lang w:val="en-US"/>
        </w:rPr>
        <w:t xml:space="preserve"> Germany risks falling further behind on sovereign AI infrastructure – with consequences for competitiveness and jobs.</w:t>
      </w:r>
    </w:p>
    <w:p w14:paraId="242332D7" w14:textId="77777777" w:rsidR="00780290" w:rsidRPr="0030472C" w:rsidRDefault="00780290" w:rsidP="00A750FD">
      <w:pPr>
        <w:spacing w:line="276" w:lineRule="auto"/>
        <w:ind w:right="-567"/>
        <w:rPr>
          <w:rFonts w:ascii="Sora" w:hAnsi="Sora" w:cs="Sora"/>
          <w:szCs w:val="22"/>
          <w:lang w:val="en-US"/>
        </w:rPr>
      </w:pPr>
    </w:p>
    <w:p w14:paraId="362C6EFB" w14:textId="0C70DF3E" w:rsidR="00CB0A4C" w:rsidRPr="00CB0A4C" w:rsidRDefault="00CE6A35" w:rsidP="00CB0A4C">
      <w:pPr>
        <w:spacing w:line="276" w:lineRule="auto"/>
        <w:ind w:right="-567"/>
        <w:rPr>
          <w:rFonts w:ascii="Sora" w:hAnsi="Sora" w:cs="Sora"/>
          <w:szCs w:val="22"/>
          <w:lang w:val="en-US"/>
        </w:rPr>
      </w:pPr>
      <w:r w:rsidRPr="0030472C">
        <w:rPr>
          <w:rFonts w:ascii="Sora" w:hAnsi="Sora" w:cs="Sora"/>
          <w:szCs w:val="22"/>
          <w:lang w:val="en-US"/>
        </w:rPr>
        <w:t>Domnick: “</w:t>
      </w:r>
      <w:r w:rsidR="00CB0A4C" w:rsidRPr="00CB0A4C">
        <w:rPr>
          <w:rFonts w:ascii="Sora" w:hAnsi="Sora" w:cs="Sora"/>
          <w:szCs w:val="22"/>
          <w:lang w:val="en-US"/>
        </w:rPr>
        <w:t>The growth potential of the German data center market is immense, but critical bottlenecks in energy, permitting, and supply chains threaten to slow progress and will require active intervention to overcome.</w:t>
      </w:r>
    </w:p>
    <w:p w14:paraId="3524FF4A" w14:textId="61AA5678" w:rsidR="00FB1D9A" w:rsidRPr="0030472C" w:rsidRDefault="00CE6A35" w:rsidP="001B458C">
      <w:pPr>
        <w:spacing w:line="276" w:lineRule="auto"/>
        <w:ind w:right="-567"/>
        <w:rPr>
          <w:rFonts w:ascii="Sora" w:hAnsi="Sora" w:cs="Sora"/>
          <w:szCs w:val="22"/>
          <w:lang w:val="en-US"/>
        </w:rPr>
      </w:pPr>
      <w:r w:rsidRPr="0030472C">
        <w:rPr>
          <w:rFonts w:ascii="Sora" w:hAnsi="Sora" w:cs="Sora"/>
          <w:szCs w:val="22"/>
          <w:lang w:val="en-US"/>
        </w:rPr>
        <w:t xml:space="preserve">Companies that invest in strategic procurement and early infrastructure planning now will shape the market of the coming years. Everyone else will have to wait for capacity.” </w:t>
      </w:r>
    </w:p>
    <w:p w14:paraId="5E5A67E2" w14:textId="77777777" w:rsidR="00805DBA" w:rsidRPr="0030472C" w:rsidRDefault="00805DBA" w:rsidP="00BB021A">
      <w:pPr>
        <w:spacing w:line="276" w:lineRule="auto"/>
        <w:ind w:right="-567"/>
        <w:rPr>
          <w:rFonts w:ascii="Sora" w:hAnsi="Sora" w:cs="Sora"/>
          <w:szCs w:val="22"/>
          <w:lang w:val="en-US"/>
        </w:rPr>
      </w:pPr>
    </w:p>
    <w:p w14:paraId="29CBB688" w14:textId="667EE3A5" w:rsidR="00027C91" w:rsidRPr="0030472C" w:rsidRDefault="00E243EA" w:rsidP="004F27E8">
      <w:pPr>
        <w:autoSpaceDE w:val="0"/>
        <w:autoSpaceDN w:val="0"/>
        <w:spacing w:line="276" w:lineRule="auto"/>
        <w:ind w:right="-567"/>
        <w:rPr>
          <w:rFonts w:ascii="Sora" w:hAnsi="Sora" w:cs="Sora"/>
          <w:b/>
          <w:bCs/>
          <w:lang w:val="en-US"/>
        </w:rPr>
      </w:pPr>
      <w:r w:rsidRPr="0030472C">
        <w:rPr>
          <w:rFonts w:ascii="Sora" w:hAnsi="Sora" w:cs="Sora"/>
          <w:b/>
          <w:bCs/>
          <w:lang w:val="en-US"/>
        </w:rPr>
        <w:t>About Inverto</w:t>
      </w:r>
    </w:p>
    <w:p w14:paraId="2C60B4DF" w14:textId="72F6B60F" w:rsidR="00695697" w:rsidRPr="0030472C" w:rsidRDefault="00695697" w:rsidP="004F27E8">
      <w:pPr>
        <w:autoSpaceDE w:val="0"/>
        <w:autoSpaceDN w:val="0"/>
        <w:spacing w:line="276" w:lineRule="auto"/>
        <w:ind w:right="-567"/>
        <w:rPr>
          <w:rFonts w:ascii="Sora" w:hAnsi="Sora" w:cs="Sora"/>
          <w:lang w:val="en-US"/>
        </w:rPr>
      </w:pPr>
      <w:bookmarkStart w:id="1" w:name="_Hlk200617337"/>
      <w:r w:rsidRPr="0030472C">
        <w:rPr>
          <w:rFonts w:ascii="Sora" w:hAnsi="Sora" w:cs="Sora"/>
          <w:lang w:val="en-US"/>
        </w:rPr>
        <w:t>Inverto is one of the world’s leading management consultancies for strategic procurement and supply chain management. The firm goes far beyond pure cost management in its services, creating genuine added value and competitive advantage for its clients. Inverto transforms procurement and supply chain functions, fosters innovation, resilience, and sustainability, and thereby enables long-term success.</w:t>
      </w:r>
    </w:p>
    <w:p w14:paraId="5D74F7D7" w14:textId="77777777" w:rsidR="00695697" w:rsidRPr="0030472C" w:rsidRDefault="00695697" w:rsidP="004F27E8">
      <w:pPr>
        <w:autoSpaceDE w:val="0"/>
        <w:autoSpaceDN w:val="0"/>
        <w:spacing w:line="276" w:lineRule="auto"/>
        <w:ind w:right="-567"/>
        <w:rPr>
          <w:rFonts w:ascii="Sora" w:hAnsi="Sora" w:cs="Sora"/>
          <w:lang w:val="en-US"/>
        </w:rPr>
      </w:pPr>
    </w:p>
    <w:p w14:paraId="15078A49" w14:textId="75D030D6" w:rsidR="00695697" w:rsidRPr="0030472C" w:rsidRDefault="00695697" w:rsidP="004F27E8">
      <w:pPr>
        <w:autoSpaceDE w:val="0"/>
        <w:autoSpaceDN w:val="0"/>
        <w:spacing w:line="276" w:lineRule="auto"/>
        <w:ind w:right="-567"/>
        <w:rPr>
          <w:rFonts w:ascii="Sora" w:hAnsi="Sora" w:cs="Sora"/>
          <w:lang w:val="en-US"/>
        </w:rPr>
      </w:pPr>
      <w:r w:rsidRPr="0030472C">
        <w:rPr>
          <w:rFonts w:ascii="Sora" w:hAnsi="Sora" w:cs="Sora"/>
          <w:lang w:val="en-US"/>
        </w:rPr>
        <w:t>As a subsidiary of Boston Consulting Group (BCG), Inverto extends BCG’s extensive service portfolio with a broad range of procurement optimization solutions. Inverto currently employs more than 700 experts across three continents. Its clients include globally recognized brands from all industries as well as leading private equity firms.</w:t>
      </w:r>
    </w:p>
    <w:p w14:paraId="7CC55982" w14:textId="77777777" w:rsidR="00FC2466" w:rsidRPr="0030472C" w:rsidRDefault="00FC2466" w:rsidP="004F27E8">
      <w:pPr>
        <w:autoSpaceDE w:val="0"/>
        <w:autoSpaceDN w:val="0"/>
        <w:spacing w:line="276" w:lineRule="auto"/>
        <w:ind w:right="-567"/>
        <w:rPr>
          <w:rFonts w:ascii="Sora" w:hAnsi="Sora" w:cs="Sora"/>
          <w:b/>
          <w:bCs/>
          <w:lang w:val="en-US"/>
        </w:rPr>
      </w:pPr>
    </w:p>
    <w:bookmarkEnd w:id="1"/>
    <w:p w14:paraId="29963B6D" w14:textId="4402E4BD" w:rsidR="00233B84" w:rsidRPr="0030472C" w:rsidRDefault="004F27E8" w:rsidP="004F27E8">
      <w:pPr>
        <w:spacing w:line="276" w:lineRule="auto"/>
        <w:ind w:right="-567"/>
        <w:rPr>
          <w:rFonts w:ascii="Sora" w:hAnsi="Sora" w:cs="Sora"/>
          <w:lang w:val="en-US"/>
        </w:rPr>
      </w:pPr>
      <w:r>
        <w:rPr>
          <w:rFonts w:ascii="Sora" w:hAnsi="Sora" w:cs="Sora"/>
          <w:noProof/>
          <w:color w:val="000000"/>
          <w:sz w:val="20"/>
          <w:szCs w:val="20"/>
        </w:rPr>
        <mc:AlternateContent>
          <mc:Choice Requires="wps">
            <w:drawing>
              <wp:anchor distT="45720" distB="45720" distL="114300" distR="114300" simplePos="0" relativeHeight="251659264" behindDoc="0" locked="0" layoutInCell="1" allowOverlap="1" wp14:anchorId="00840A08" wp14:editId="03899BC3">
                <wp:simplePos x="0" y="0"/>
                <wp:positionH relativeFrom="margin">
                  <wp:align>left</wp:align>
                </wp:positionH>
                <wp:positionV relativeFrom="paragraph">
                  <wp:posOffset>363855</wp:posOffset>
                </wp:positionV>
                <wp:extent cx="5838825" cy="1325880"/>
                <wp:effectExtent l="0" t="0" r="9525"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25880"/>
                        </a:xfrm>
                        <a:prstGeom prst="rect">
                          <a:avLst/>
                        </a:prstGeom>
                        <a:solidFill>
                          <a:srgbClr val="99D9D9"/>
                        </a:solidFill>
                        <a:ln w="9525">
                          <a:noFill/>
                          <a:miter lim="800000"/>
                          <a:headEnd/>
                          <a:tailEnd/>
                        </a:ln>
                      </wps:spPr>
                      <wps:txbx>
                        <w:txbxContent>
                          <w:p w14:paraId="7C6AC07F" w14:textId="77777777" w:rsidR="009F1694" w:rsidRPr="0030472C" w:rsidRDefault="009F1694" w:rsidP="009F1694">
                            <w:pPr>
                              <w:pStyle w:val="Fuzeile"/>
                              <w:spacing w:line="360" w:lineRule="auto"/>
                              <w:rPr>
                                <w:rFonts w:ascii="Sora" w:hAnsi="Sora" w:cs="Sora"/>
                                <w:b/>
                                <w:szCs w:val="20"/>
                                <w:lang w:val="en-US"/>
                              </w:rPr>
                            </w:pPr>
                            <w:r w:rsidRPr="0030472C">
                              <w:rPr>
                                <w:rFonts w:ascii="Sora" w:hAnsi="Sora" w:cs="Sora"/>
                                <w:b/>
                                <w:szCs w:val="20"/>
                                <w:lang w:val="en-US"/>
                              </w:rPr>
                              <w:t>PRESS CONTACT</w:t>
                            </w:r>
                          </w:p>
                          <w:p w14:paraId="2667C7F7" w14:textId="75D00C67" w:rsidR="009F1694" w:rsidRPr="0030472C" w:rsidRDefault="00F55D88" w:rsidP="009F1694">
                            <w:pPr>
                              <w:pStyle w:val="Fuzeile"/>
                              <w:spacing w:line="360" w:lineRule="auto"/>
                              <w:rPr>
                                <w:rFonts w:ascii="Sora" w:hAnsi="Sora" w:cs="Sora"/>
                                <w:szCs w:val="20"/>
                                <w:lang w:val="en-US"/>
                              </w:rPr>
                            </w:pPr>
                            <w:r w:rsidRPr="0030472C">
                              <w:rPr>
                                <w:rFonts w:ascii="Sora" w:hAnsi="Sora" w:cs="Sora"/>
                                <w:szCs w:val="20"/>
                                <w:lang w:val="en-US"/>
                              </w:rPr>
                              <w:t>Inverto GmbH • Lichtstraße 43 i • 50825 Köln</w:t>
                            </w:r>
                          </w:p>
                          <w:p w14:paraId="766F2412" w14:textId="7BBD92CD" w:rsidR="009F1694" w:rsidRPr="00FB663D" w:rsidRDefault="00FB663D" w:rsidP="009F1694">
                            <w:pPr>
                              <w:pStyle w:val="Fuzeile"/>
                              <w:spacing w:line="360" w:lineRule="auto"/>
                              <w:rPr>
                                <w:rFonts w:ascii="Sora" w:hAnsi="Sora" w:cs="Sora"/>
                                <w:szCs w:val="20"/>
                                <w:lang w:val="en-US"/>
                              </w:rPr>
                            </w:pPr>
                            <w:r>
                              <w:rPr>
                                <w:rFonts w:ascii="Sora" w:hAnsi="Sora" w:cs="Sora"/>
                                <w:szCs w:val="20"/>
                                <w:lang w:val="en-US"/>
                              </w:rPr>
                              <w:t>Ina Ullrich • PR Manager</w:t>
                            </w:r>
                          </w:p>
                          <w:p w14:paraId="5EA3344D" w14:textId="7D1A774D" w:rsidR="004F27E8" w:rsidRPr="002E25E5" w:rsidRDefault="00715656" w:rsidP="004F27E8">
                            <w:pPr>
                              <w:pStyle w:val="Fuzeile"/>
                              <w:spacing w:line="360" w:lineRule="auto"/>
                              <w:rPr>
                                <w:rFonts w:ascii="Sora" w:hAnsi="Sora" w:cs="Sora"/>
                                <w:szCs w:val="20"/>
                                <w:lang w:val="en-GB"/>
                              </w:rPr>
                            </w:pPr>
                            <w:r>
                              <w:rPr>
                                <w:rFonts w:ascii="Sora" w:hAnsi="Sora" w:cs="Sora"/>
                                <w:szCs w:val="20"/>
                                <w:lang w:val="en-GB"/>
                              </w:rPr>
                              <w:t>Phone: +49 221 485 687 265 • +49 162 1015 255 • Email: iullrich@inverto.com</w:t>
                            </w:r>
                          </w:p>
                          <w:p w14:paraId="20C7C279" w14:textId="1020D6F8" w:rsidR="009F1694" w:rsidRPr="004F27E8" w:rsidRDefault="00715656" w:rsidP="009F1694">
                            <w:pPr>
                              <w:rPr>
                                <w:rFonts w:ascii="Sora" w:hAnsi="Sora" w:cs="Sora"/>
                                <w:szCs w:val="20"/>
                                <w:lang w:val="en-US"/>
                              </w:rPr>
                            </w:pPr>
                            <w:r>
                              <w:rPr>
                                <w:rFonts w:ascii="Sora" w:hAnsi="Sora" w:cs="Sora"/>
                                <w:szCs w:val="20"/>
                                <w:lang w:val="en-US"/>
                              </w:rPr>
                              <w:t>Web: www.inverto.com/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840A08" id="_x0000_t202" coordsize="21600,21600" o:spt="202" path="m,l,21600r21600,l21600,xe">
                <v:stroke joinstyle="miter"/>
                <v:path gradientshapeok="t" o:connecttype="rect"/>
              </v:shapetype>
              <v:shape id="Textfeld 2" o:spid="_x0000_s1026" type="#_x0000_t202" style="position:absolute;margin-left:0;margin-top:28.65pt;width:459.75pt;height:104.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" fillcolor="#99d9d9" stroked="f">
                <v:textbox>
                  <w:txbxContent>
                    <w:p w14:paraId="7C6AC07F" w14:textId="77777777" w:rsidR="009F1694" w:rsidRPr="0030472C" w:rsidRDefault="009F1694" w:rsidP="009F1694">
                      <w:pPr>
                        <w:pStyle w:val="Fuzeile"/>
                        <w:spacing w:line="360" w:lineRule="auto"/>
                        <w:rPr>
                          <w:rFonts w:ascii="Sora" w:hAnsi="Sora" w:cs="Sora"/>
                          <w:b/>
                          <w:szCs w:val="20"/>
                          <w:lang w:val="en-US"/>
                        </w:rPr>
                      </w:pPr>
                      <w:r w:rsidRPr="0030472C">
                        <w:rPr>
                          <w:rFonts w:ascii="Sora" w:hAnsi="Sora" w:cs="Sora"/>
                          <w:b/>
                          <w:szCs w:val="20"/>
                          <w:lang w:val="en-US"/>
                        </w:rPr>
                        <w:t>PRESS CONTACT</w:t>
                      </w:r>
                    </w:p>
                    <w:p w14:paraId="2667C7F7" w14:textId="75D00C67" w:rsidR="009F1694" w:rsidRPr="0030472C" w:rsidRDefault="00F55D88" w:rsidP="009F1694">
                      <w:pPr>
                        <w:pStyle w:val="Fuzeile"/>
                        <w:spacing w:line="360" w:lineRule="auto"/>
                        <w:rPr>
                          <w:rFonts w:ascii="Sora" w:hAnsi="Sora" w:cs="Sora"/>
                          <w:szCs w:val="20"/>
                          <w:lang w:val="en-US"/>
                        </w:rPr>
                      </w:pPr>
                      <w:r w:rsidRPr="0030472C">
                        <w:rPr>
                          <w:rFonts w:ascii="Sora" w:hAnsi="Sora" w:cs="Sora"/>
                          <w:szCs w:val="20"/>
                          <w:lang w:val="en-US"/>
                        </w:rPr>
                        <w:t>Inverto GmbH • Lichtstraße 43 i • 50825 Köln</w:t>
                      </w:r>
                    </w:p>
                    <w:p w14:paraId="766F2412" w14:textId="7BBD92CD" w:rsidR="009F1694" w:rsidRPr="00FB663D" w:rsidRDefault="00FB663D" w:rsidP="009F1694">
                      <w:pPr>
                        <w:pStyle w:val="Fuzeile"/>
                        <w:spacing w:line="360" w:lineRule="auto"/>
                        <w:rPr>
                          <w:rFonts w:ascii="Sora" w:hAnsi="Sora" w:cs="Sora"/>
                          <w:szCs w:val="20"/>
                          <w:lang w:val="en-US"/>
                        </w:rPr>
                      </w:pPr>
                      <w:r>
                        <w:rPr>
                          <w:rFonts w:ascii="Sora" w:hAnsi="Sora" w:cs="Sora"/>
                          <w:szCs w:val="20"/>
                          <w:lang w:val="en-US"/>
                        </w:rPr>
                        <w:t>Ina Ullrich • PR Manager</w:t>
                      </w:r>
                    </w:p>
                    <w:p w14:paraId="5EA3344D" w14:textId="7D1A774D" w:rsidR="004F27E8" w:rsidRPr="002E25E5" w:rsidRDefault="00715656" w:rsidP="004F27E8">
                      <w:pPr>
                        <w:pStyle w:val="Fuzeile"/>
                        <w:spacing w:line="360" w:lineRule="auto"/>
                        <w:rPr>
                          <w:rFonts w:ascii="Sora" w:hAnsi="Sora" w:cs="Sora"/>
                          <w:szCs w:val="20"/>
                          <w:lang w:val="en-GB"/>
                        </w:rPr>
                      </w:pPr>
                      <w:r>
                        <w:rPr>
                          <w:rFonts w:ascii="Sora" w:hAnsi="Sora" w:cs="Sora"/>
                          <w:szCs w:val="20"/>
                          <w:lang w:val="en-GB"/>
                        </w:rPr>
                        <w:t>Phone: +49 221 485 687 265 • +49 162 1015 255 • Email: iullrich@inverto.com</w:t>
                      </w:r>
                    </w:p>
                    <w:p w14:paraId="20C7C279" w14:textId="1020D6F8" w:rsidR="009F1694" w:rsidRPr="004F27E8" w:rsidRDefault="00715656" w:rsidP="009F1694">
                      <w:pPr>
                        <w:rPr>
                          <w:rFonts w:ascii="Sora" w:hAnsi="Sora" w:cs="Sora"/>
                          <w:szCs w:val="20"/>
                          <w:lang w:val="en-US"/>
                        </w:rPr>
                      </w:pPr>
                      <w:r>
                        <w:rPr>
                          <w:rFonts w:ascii="Sora" w:hAnsi="Sora" w:cs="Sora"/>
                          <w:szCs w:val="20"/>
                          <w:lang w:val="en-US"/>
                        </w:rPr>
                        <w:t>Web: www.inverto.com/</w:t>
                      </w:r>
                    </w:p>
                  </w:txbxContent>
                </v:textbox>
                <w10:wrap type="square" anchorx="margin"/>
              </v:shape>
            </w:pict>
          </mc:Fallback>
        </mc:AlternateContent>
      </w:r>
      <w:r w:rsidRPr="0030472C">
        <w:rPr>
          <w:rFonts w:ascii="Sora" w:hAnsi="Sora" w:cs="Sora"/>
          <w:lang w:val="en-US"/>
        </w:rPr>
        <w:t>More information at www.inverto.com. </w:t>
      </w:r>
    </w:p>
    <w:sectPr w:rsidR="00233B84" w:rsidRPr="0030472C" w:rsidSect="00163D1E">
      <w:headerReference w:type="default" r:id="rId8"/>
      <w:footerReference w:type="even" r:id="rId9"/>
      <w:footerReference w:type="default" r:id="rId10"/>
      <w:headerReference w:type="first" r:id="rId11"/>
      <w:footerReference w:type="first" r:id="rId12"/>
      <w:pgSz w:w="11906" w:h="16838" w:code="9"/>
      <w:pgMar w:top="851" w:right="2550" w:bottom="1021"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AD283" w14:textId="77777777" w:rsidR="00E12780" w:rsidRDefault="00E12780">
      <w:r>
        <w:separator/>
      </w:r>
    </w:p>
  </w:endnote>
  <w:endnote w:type="continuationSeparator" w:id="0">
    <w:p w14:paraId="7D634863" w14:textId="77777777" w:rsidR="00E12780" w:rsidRDefault="00E1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ra">
    <w:altName w:val="Khmer UI"/>
    <w:panose1 w:val="00000000000000000000"/>
    <w:charset w:val="00"/>
    <w:family w:val="auto"/>
    <w:pitch w:val="variable"/>
    <w:sig w:usb0="A000006F" w:usb1="5000004B" w:usb2="00010000" w:usb3="00000000" w:csb0="00000093"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D1FA" w14:textId="77777777" w:rsidR="002A0C43" w:rsidRDefault="002A0C4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7B24E5E" w14:textId="77777777" w:rsidR="002A0C43" w:rsidRDefault="002A0C4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B8ED" w14:textId="7B730BD8" w:rsidR="002A0C43" w:rsidRDefault="002A0C43">
    <w:pPr>
      <w:pStyle w:val="Fuzeile"/>
      <w:framePr w:wrap="around" w:vAnchor="text" w:hAnchor="margin" w:xAlign="right" w:y="1"/>
      <w:rPr>
        <w:rStyle w:val="Seitenzahl"/>
        <w:rFonts w:ascii="Arial" w:hAnsi="Arial" w:cs="Arial"/>
        <w:sz w:val="16"/>
      </w:rPr>
    </w:pPr>
    <w:r>
      <w:rPr>
        <w:rStyle w:val="Seitenzahl"/>
        <w:rFonts w:ascii="Arial" w:hAnsi="Arial" w:cs="Arial"/>
        <w:sz w:val="16"/>
      </w:rPr>
      <w:fldChar w:fldCharType="begin"/>
    </w:r>
    <w:r>
      <w:rPr>
        <w:rStyle w:val="Seitenzahl"/>
        <w:rFonts w:ascii="Arial" w:hAnsi="Arial" w:cs="Arial"/>
        <w:sz w:val="16"/>
      </w:rPr>
      <w:instrText xml:space="preserve">PAGE  </w:instrText>
    </w:r>
    <w:r>
      <w:rPr>
        <w:rStyle w:val="Seitenzahl"/>
        <w:rFonts w:ascii="Arial" w:hAnsi="Arial" w:cs="Arial"/>
        <w:sz w:val="16"/>
      </w:rPr>
      <w:fldChar w:fldCharType="separate"/>
    </w:r>
    <w:r w:rsidR="00375ED0">
      <w:rPr>
        <w:rStyle w:val="Seitenzahl"/>
        <w:rFonts w:ascii="Arial" w:hAnsi="Arial" w:cs="Arial"/>
        <w:noProof/>
        <w:sz w:val="16"/>
      </w:rPr>
      <w:t>1</w:t>
    </w:r>
    <w:r>
      <w:rPr>
        <w:rStyle w:val="Seitenzahl"/>
        <w:rFonts w:ascii="Arial" w:hAnsi="Arial" w:cs="Arial"/>
        <w:sz w:val="16"/>
      </w:rPr>
      <w:fldChar w:fldCharType="end"/>
    </w:r>
    <w:r>
      <w:rPr>
        <w:rStyle w:val="Seitenzahl"/>
        <w:rFonts w:ascii="Arial" w:hAnsi="Arial" w:cs="Arial"/>
        <w:sz w:val="16"/>
      </w:rPr>
      <w:t>/</w:t>
    </w:r>
    <w:r>
      <w:rPr>
        <w:rStyle w:val="Seitenzahl"/>
        <w:rFonts w:ascii="Arial" w:hAnsi="Arial" w:cs="Arial"/>
        <w:sz w:val="16"/>
      </w:rPr>
      <w:fldChar w:fldCharType="begin"/>
    </w:r>
    <w:r>
      <w:rPr>
        <w:rStyle w:val="Seitenzahl"/>
        <w:rFonts w:ascii="Arial" w:hAnsi="Arial" w:cs="Arial"/>
        <w:sz w:val="16"/>
      </w:rPr>
      <w:instrText xml:space="preserve"> NUMPAGES </w:instrText>
    </w:r>
    <w:r>
      <w:rPr>
        <w:rStyle w:val="Seitenzahl"/>
        <w:rFonts w:ascii="Arial" w:hAnsi="Arial" w:cs="Arial"/>
        <w:sz w:val="16"/>
      </w:rPr>
      <w:fldChar w:fldCharType="separate"/>
    </w:r>
    <w:r w:rsidR="00375ED0">
      <w:rPr>
        <w:rStyle w:val="Seitenzahl"/>
        <w:rFonts w:ascii="Arial" w:hAnsi="Arial" w:cs="Arial"/>
        <w:noProof/>
        <w:sz w:val="16"/>
      </w:rPr>
      <w:t>1</w:t>
    </w:r>
    <w:r>
      <w:rPr>
        <w:rStyle w:val="Seitenzahl"/>
        <w:rFonts w:ascii="Arial" w:hAnsi="Arial" w:cs="Arial"/>
        <w:sz w:val="16"/>
      </w:rPr>
      <w:fldChar w:fldCharType="end"/>
    </w:r>
  </w:p>
  <w:p w14:paraId="172628E7" w14:textId="77777777" w:rsidR="002A0C43" w:rsidRDefault="002A0C43">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2179" w14:textId="77777777" w:rsidR="002A0C43" w:rsidRDefault="002A0C43">
    <w:pPr>
      <w:pStyle w:val="Fuzeile"/>
      <w:framePr w:wrap="around" w:vAnchor="text" w:hAnchor="margin" w:xAlign="right" w:y="1"/>
      <w:rPr>
        <w:rStyle w:val="Seitenzahl"/>
        <w:rFonts w:ascii="Arial" w:hAnsi="Arial" w:cs="Arial"/>
        <w:sz w:val="16"/>
      </w:rPr>
    </w:pPr>
    <w:r>
      <w:rPr>
        <w:rStyle w:val="Seitenzahl"/>
        <w:rFonts w:ascii="Arial" w:hAnsi="Arial" w:cs="Arial"/>
        <w:sz w:val="16"/>
      </w:rPr>
      <w:fldChar w:fldCharType="begin"/>
    </w:r>
    <w:r>
      <w:rPr>
        <w:rStyle w:val="Seitenzahl"/>
        <w:rFonts w:ascii="Arial" w:hAnsi="Arial" w:cs="Arial"/>
        <w:sz w:val="16"/>
      </w:rPr>
      <w:instrText xml:space="preserve"> PAGE </w:instrText>
    </w:r>
    <w:r>
      <w:rPr>
        <w:rStyle w:val="Seitenzahl"/>
        <w:rFonts w:ascii="Arial" w:hAnsi="Arial" w:cs="Arial"/>
        <w:sz w:val="16"/>
      </w:rPr>
      <w:fldChar w:fldCharType="separate"/>
    </w:r>
    <w:r>
      <w:rPr>
        <w:rStyle w:val="Seitenzahl"/>
        <w:rFonts w:ascii="Arial" w:hAnsi="Arial" w:cs="Arial"/>
        <w:noProof/>
        <w:sz w:val="16"/>
      </w:rPr>
      <w:t>1</w:t>
    </w:r>
    <w:r>
      <w:rPr>
        <w:rStyle w:val="Seitenzahl"/>
        <w:rFonts w:ascii="Arial" w:hAnsi="Arial" w:cs="Arial"/>
        <w:sz w:val="16"/>
      </w:rPr>
      <w:fldChar w:fldCharType="end"/>
    </w:r>
    <w:r>
      <w:rPr>
        <w:rStyle w:val="Seitenzahl"/>
        <w:rFonts w:ascii="Arial" w:hAnsi="Arial" w:cs="Arial"/>
        <w:sz w:val="16"/>
      </w:rPr>
      <w:t>/</w:t>
    </w:r>
    <w:r>
      <w:rPr>
        <w:rStyle w:val="Seitenzahl"/>
        <w:rFonts w:ascii="Arial" w:hAnsi="Arial" w:cs="Arial"/>
        <w:sz w:val="16"/>
      </w:rPr>
      <w:fldChar w:fldCharType="begin"/>
    </w:r>
    <w:r>
      <w:rPr>
        <w:rStyle w:val="Seitenzahl"/>
        <w:rFonts w:ascii="Arial" w:hAnsi="Arial" w:cs="Arial"/>
        <w:sz w:val="16"/>
      </w:rPr>
      <w:instrText xml:space="preserve"> NUMPAGES </w:instrText>
    </w:r>
    <w:r>
      <w:rPr>
        <w:rStyle w:val="Seitenzahl"/>
        <w:rFonts w:ascii="Arial" w:hAnsi="Arial" w:cs="Arial"/>
        <w:sz w:val="16"/>
      </w:rPr>
      <w:fldChar w:fldCharType="separate"/>
    </w:r>
    <w:r>
      <w:rPr>
        <w:rStyle w:val="Seitenzahl"/>
        <w:rFonts w:ascii="Arial" w:hAnsi="Arial" w:cs="Arial"/>
        <w:noProof/>
        <w:sz w:val="16"/>
      </w:rPr>
      <w:t>3</w:t>
    </w:r>
    <w:r>
      <w:rPr>
        <w:rStyle w:val="Seitenzahl"/>
        <w:rFonts w:ascii="Arial" w:hAnsi="Arial" w:cs="Arial"/>
        <w:sz w:val="16"/>
      </w:rPr>
      <w:fldChar w:fldCharType="end"/>
    </w:r>
  </w:p>
  <w:p w14:paraId="7BE0FF89" w14:textId="77777777" w:rsidR="002A0C43" w:rsidRDefault="002A0C43">
    <w:pPr>
      <w:ind w:right="360"/>
      <w:rPr>
        <w:rFonts w:ascii="Arial" w:hAnsi="Arial" w:cs="Arial"/>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54D77" w14:textId="77777777" w:rsidR="00E12780" w:rsidRDefault="00E12780">
      <w:r>
        <w:separator/>
      </w:r>
    </w:p>
  </w:footnote>
  <w:footnote w:type="continuationSeparator" w:id="0">
    <w:p w14:paraId="1E50E013" w14:textId="77777777" w:rsidR="00E12780" w:rsidRDefault="00E12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D91D" w14:textId="51CE6DB8" w:rsidR="00CA0135" w:rsidRDefault="00C1127F" w:rsidP="002E7263">
    <w:pPr>
      <w:pStyle w:val="Kopfzeile"/>
      <w:ind w:right="-2268"/>
      <w:jc w:val="center"/>
    </w:pPr>
    <w:r>
      <w:rPr>
        <w:noProof/>
      </w:rPr>
      <w:drawing>
        <wp:anchor distT="0" distB="0" distL="114300" distR="114300" simplePos="0" relativeHeight="251658240" behindDoc="0" locked="0" layoutInCell="1" allowOverlap="1" wp14:anchorId="77541783" wp14:editId="5B3A539F">
          <wp:simplePos x="0" y="0"/>
          <wp:positionH relativeFrom="page">
            <wp:align>right</wp:align>
          </wp:positionH>
          <wp:positionV relativeFrom="paragraph">
            <wp:posOffset>-231775</wp:posOffset>
          </wp:positionV>
          <wp:extent cx="3707130" cy="1182004"/>
          <wp:effectExtent l="0" t="0" r="0" b="0"/>
          <wp:wrapSquare wrapText="bothSides"/>
          <wp:docPr id="788963652" name="Grafik 1" descr="Ein Bild, das Schrift, Grafiken, Logo, Text enthält.  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33750" name="Grafik 1" descr="Ein Bild, das Schrift, Grafiken, Logo, Text enthält.  Automatisch generierte Beschreibung"/>
                  <pic:cNvPicPr/>
                </pic:nvPicPr>
                <pic:blipFill>
                  <a:blip r:embed="rId1"/>
                  <a:stretch>
                    <a:fillRect/>
                  </a:stretch>
                </pic:blipFill>
                <pic:spPr>
                  <a:xfrm>
                    <a:off x="0" y="0"/>
                    <a:ext cx="3707130" cy="1182004"/>
                  </a:xfrm>
                  <a:prstGeom prst="rect">
                    <a:avLst/>
                  </a:prstGeom>
                </pic:spPr>
              </pic:pic>
            </a:graphicData>
          </a:graphic>
        </wp:anchor>
      </w:drawing>
    </w:r>
    <w:r w:rsidR="002A0C43">
      <w:tab/>
    </w:r>
  </w:p>
  <w:p w14:paraId="7519B84D" w14:textId="77777777" w:rsidR="00CA0135" w:rsidRDefault="00CA0135" w:rsidP="002E7263">
    <w:pPr>
      <w:pStyle w:val="Kopfzeile"/>
      <w:ind w:right="-2268"/>
      <w:jc w:val="center"/>
    </w:pPr>
  </w:p>
  <w:p w14:paraId="4D60ABA5" w14:textId="77777777" w:rsidR="00CA0135" w:rsidRDefault="00CA0135" w:rsidP="002E7263">
    <w:pPr>
      <w:pStyle w:val="Kopfzeile"/>
      <w:ind w:right="-2268"/>
      <w:jc w:val="center"/>
    </w:pPr>
  </w:p>
  <w:p w14:paraId="426ED5CF" w14:textId="77777777" w:rsidR="00CA0135" w:rsidRDefault="00CA0135" w:rsidP="002E7263">
    <w:pPr>
      <w:pStyle w:val="Kopfzeile"/>
      <w:ind w:right="-2268"/>
      <w:jc w:val="center"/>
    </w:pPr>
  </w:p>
  <w:p w14:paraId="1526682F" w14:textId="77777777" w:rsidR="00CA0135" w:rsidRDefault="00CA0135" w:rsidP="00C1127F">
    <w:pPr>
      <w:pStyle w:val="Kopfzeile"/>
      <w:ind w:right="-2268"/>
    </w:pPr>
  </w:p>
  <w:p w14:paraId="4E643E77" w14:textId="77777777" w:rsidR="00C1127F" w:rsidRDefault="00C1127F" w:rsidP="00C1127F">
    <w:pPr>
      <w:pStyle w:val="Kopfzeile"/>
      <w:ind w:right="-2268"/>
    </w:pPr>
  </w:p>
  <w:p w14:paraId="621981DF" w14:textId="66D1AEA9" w:rsidR="002A0C43" w:rsidRDefault="002A0C43" w:rsidP="002E7263">
    <w:pPr>
      <w:pStyle w:val="Kopfzeile"/>
      <w:ind w:right="-2268"/>
      <w:jc w:val="cent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1D56" w14:textId="77777777" w:rsidR="002A0C43" w:rsidRDefault="002A0C43">
    <w:pPr>
      <w:pStyle w:val="Kopfzeile"/>
      <w:ind w:right="-2858"/>
      <w:jc w:val="right"/>
      <w:rPr>
        <w:sz w:val="18"/>
        <w:szCs w:val="18"/>
      </w:rPr>
    </w:pPr>
  </w:p>
  <w:p w14:paraId="1B014602" w14:textId="77777777" w:rsidR="002A0C43" w:rsidRDefault="002A0C43">
    <w:pPr>
      <w:jc w:val="right"/>
      <w:rPr>
        <w:sz w:val="18"/>
        <w:szCs w:val="18"/>
      </w:rPr>
    </w:pPr>
    <w:r>
      <w:rPr>
        <w:noProof/>
        <w:color w:val="0000FF"/>
      </w:rPr>
      <w:drawing>
        <wp:inline distT="0" distB="0" distL="0" distR="0" wp14:anchorId="2B533F50" wp14:editId="33B0B8C7">
          <wp:extent cx="1524000" cy="571500"/>
          <wp:effectExtent l="19050" t="0" r="0" b="0"/>
          <wp:docPr id="1401418736" name="Grafik 1" descr="Logo INVERT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INVERTO">
                    <a:hlinkClick r:id="rId1"/>
                  </pic:cNvPr>
                  <pic:cNvPicPr>
                    <a:picLocks noChangeAspect="1" noChangeArrowheads="1"/>
                  </pic:cNvPicPr>
                </pic:nvPicPr>
                <pic:blipFill>
                  <a:blip r:embed="rId2"/>
                  <a:srcRect/>
                  <a:stretch>
                    <a:fillRect/>
                  </a:stretch>
                </pic:blipFill>
                <pic:spPr bwMode="auto">
                  <a:xfrm>
                    <a:off x="0" y="0"/>
                    <a:ext cx="1524000" cy="571500"/>
                  </a:xfrm>
                  <a:prstGeom prst="rect">
                    <a:avLst/>
                  </a:prstGeom>
                  <a:noFill/>
                  <a:ln w="9525">
                    <a:noFill/>
                    <a:miter lim="800000"/>
                    <a:headEnd/>
                    <a:tailEnd/>
                  </a:ln>
                </pic:spPr>
              </pic:pic>
            </a:graphicData>
          </a:graphic>
        </wp:inline>
      </w:drawing>
    </w:r>
  </w:p>
  <w:p w14:paraId="1AE7856F" w14:textId="77777777" w:rsidR="002A0C43" w:rsidRDefault="002A0C43">
    <w:pPr>
      <w:rPr>
        <w:sz w:val="18"/>
        <w:szCs w:val="18"/>
      </w:rPr>
    </w:pPr>
  </w:p>
  <w:p w14:paraId="3EF6AA79" w14:textId="77777777" w:rsidR="002A0C43" w:rsidRDefault="002A0C43">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7FA9"/>
    <w:multiLevelType w:val="hybridMultilevel"/>
    <w:tmpl w:val="817E61B0"/>
    <w:lvl w:ilvl="0" w:tplc="5C2800D0">
      <w:numFmt w:val="bullet"/>
      <w:lvlText w:val=""/>
      <w:lvlJc w:val="left"/>
      <w:pPr>
        <w:ind w:left="720" w:hanging="360"/>
      </w:pPr>
      <w:rPr>
        <w:rFonts w:ascii="Wingdings" w:eastAsia="Times New Roman"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B27451"/>
    <w:multiLevelType w:val="hybridMultilevel"/>
    <w:tmpl w:val="0F521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AB1E85"/>
    <w:multiLevelType w:val="hybridMultilevel"/>
    <w:tmpl w:val="E3643A2C"/>
    <w:lvl w:ilvl="0" w:tplc="2616720E">
      <w:numFmt w:val="bullet"/>
      <w:lvlText w:val="-"/>
      <w:lvlJc w:val="left"/>
      <w:pPr>
        <w:ind w:left="720" w:hanging="360"/>
      </w:pPr>
      <w:rPr>
        <w:rFonts w:ascii="Sora" w:eastAsia="Times New Roman" w:hAnsi="Sora" w:cs="Sor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580C10"/>
    <w:multiLevelType w:val="hybridMultilevel"/>
    <w:tmpl w:val="D0144832"/>
    <w:lvl w:ilvl="0" w:tplc="04070001">
      <w:start w:val="1"/>
      <w:numFmt w:val="bullet"/>
      <w:lvlText w:val=""/>
      <w:lvlJc w:val="left"/>
      <w:pPr>
        <w:ind w:left="720" w:hanging="360"/>
      </w:pPr>
      <w:rPr>
        <w:rFonts w:ascii="Symbol" w:hAnsi="Symbo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7403825">
    <w:abstractNumId w:val="0"/>
  </w:num>
  <w:num w:numId="2" w16cid:durableId="121845377">
    <w:abstractNumId w:val="1"/>
  </w:num>
  <w:num w:numId="3" w16cid:durableId="826474904">
    <w:abstractNumId w:val="3"/>
  </w:num>
  <w:num w:numId="4" w16cid:durableId="1712993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E5F"/>
    <w:rsid w:val="000023F7"/>
    <w:rsid w:val="000105D8"/>
    <w:rsid w:val="00011BB8"/>
    <w:rsid w:val="00013D7F"/>
    <w:rsid w:val="00015BD9"/>
    <w:rsid w:val="00016ECA"/>
    <w:rsid w:val="000247A8"/>
    <w:rsid w:val="00027C91"/>
    <w:rsid w:val="00031A48"/>
    <w:rsid w:val="000327B3"/>
    <w:rsid w:val="00036AC3"/>
    <w:rsid w:val="00040159"/>
    <w:rsid w:val="0004156C"/>
    <w:rsid w:val="00041F44"/>
    <w:rsid w:val="00045DE8"/>
    <w:rsid w:val="000471CF"/>
    <w:rsid w:val="00050081"/>
    <w:rsid w:val="0005248E"/>
    <w:rsid w:val="00053314"/>
    <w:rsid w:val="00053983"/>
    <w:rsid w:val="0005424A"/>
    <w:rsid w:val="00054697"/>
    <w:rsid w:val="00056D11"/>
    <w:rsid w:val="00062EEB"/>
    <w:rsid w:val="00073928"/>
    <w:rsid w:val="0007603B"/>
    <w:rsid w:val="00076A70"/>
    <w:rsid w:val="0007717D"/>
    <w:rsid w:val="000817C5"/>
    <w:rsid w:val="00083246"/>
    <w:rsid w:val="000852C6"/>
    <w:rsid w:val="000857F2"/>
    <w:rsid w:val="00087291"/>
    <w:rsid w:val="0009189F"/>
    <w:rsid w:val="000A48DB"/>
    <w:rsid w:val="000A5D7D"/>
    <w:rsid w:val="000A617F"/>
    <w:rsid w:val="000B14C9"/>
    <w:rsid w:val="000B2F44"/>
    <w:rsid w:val="000B3846"/>
    <w:rsid w:val="000B4DC2"/>
    <w:rsid w:val="000B54F6"/>
    <w:rsid w:val="000C23E9"/>
    <w:rsid w:val="000C411A"/>
    <w:rsid w:val="000D6F4B"/>
    <w:rsid w:val="000E0182"/>
    <w:rsid w:val="000E025C"/>
    <w:rsid w:val="000E1A33"/>
    <w:rsid w:val="000E2A4D"/>
    <w:rsid w:val="000E45DD"/>
    <w:rsid w:val="000E61EA"/>
    <w:rsid w:val="000F1078"/>
    <w:rsid w:val="000F4A64"/>
    <w:rsid w:val="00102F67"/>
    <w:rsid w:val="0010634F"/>
    <w:rsid w:val="00107698"/>
    <w:rsid w:val="0011617B"/>
    <w:rsid w:val="00117275"/>
    <w:rsid w:val="00120F0F"/>
    <w:rsid w:val="0012359B"/>
    <w:rsid w:val="00130E27"/>
    <w:rsid w:val="00132092"/>
    <w:rsid w:val="00136779"/>
    <w:rsid w:val="0014375F"/>
    <w:rsid w:val="00143FBF"/>
    <w:rsid w:val="00144119"/>
    <w:rsid w:val="00145394"/>
    <w:rsid w:val="00145CF8"/>
    <w:rsid w:val="0014764F"/>
    <w:rsid w:val="0014780D"/>
    <w:rsid w:val="00153472"/>
    <w:rsid w:val="00153B18"/>
    <w:rsid w:val="001544E0"/>
    <w:rsid w:val="0015497C"/>
    <w:rsid w:val="00154ED0"/>
    <w:rsid w:val="00155975"/>
    <w:rsid w:val="00157780"/>
    <w:rsid w:val="00161095"/>
    <w:rsid w:val="00162754"/>
    <w:rsid w:val="00163D1E"/>
    <w:rsid w:val="001701A4"/>
    <w:rsid w:val="0017158B"/>
    <w:rsid w:val="0017743C"/>
    <w:rsid w:val="001807DA"/>
    <w:rsid w:val="0018297B"/>
    <w:rsid w:val="001842B8"/>
    <w:rsid w:val="0018669E"/>
    <w:rsid w:val="001917EB"/>
    <w:rsid w:val="00194931"/>
    <w:rsid w:val="0019689B"/>
    <w:rsid w:val="0019795A"/>
    <w:rsid w:val="001A0352"/>
    <w:rsid w:val="001A0FCF"/>
    <w:rsid w:val="001A1254"/>
    <w:rsid w:val="001A4137"/>
    <w:rsid w:val="001A427D"/>
    <w:rsid w:val="001A479E"/>
    <w:rsid w:val="001A484B"/>
    <w:rsid w:val="001A5010"/>
    <w:rsid w:val="001A6331"/>
    <w:rsid w:val="001A64BD"/>
    <w:rsid w:val="001A755D"/>
    <w:rsid w:val="001A76FF"/>
    <w:rsid w:val="001B017B"/>
    <w:rsid w:val="001B167A"/>
    <w:rsid w:val="001B24B3"/>
    <w:rsid w:val="001B27C1"/>
    <w:rsid w:val="001B458C"/>
    <w:rsid w:val="001B5539"/>
    <w:rsid w:val="001B5988"/>
    <w:rsid w:val="001B69D3"/>
    <w:rsid w:val="001C0085"/>
    <w:rsid w:val="001C08D8"/>
    <w:rsid w:val="001C17D6"/>
    <w:rsid w:val="001C338C"/>
    <w:rsid w:val="001C482F"/>
    <w:rsid w:val="001D2345"/>
    <w:rsid w:val="001D5856"/>
    <w:rsid w:val="001D6817"/>
    <w:rsid w:val="001D6863"/>
    <w:rsid w:val="001F5EBB"/>
    <w:rsid w:val="001F7A15"/>
    <w:rsid w:val="002021B8"/>
    <w:rsid w:val="00202DA7"/>
    <w:rsid w:val="00202F54"/>
    <w:rsid w:val="002068B4"/>
    <w:rsid w:val="00206928"/>
    <w:rsid w:val="00211B4A"/>
    <w:rsid w:val="00213AF7"/>
    <w:rsid w:val="0021470B"/>
    <w:rsid w:val="00221A6D"/>
    <w:rsid w:val="00222B7B"/>
    <w:rsid w:val="00224193"/>
    <w:rsid w:val="00231C9A"/>
    <w:rsid w:val="00233B84"/>
    <w:rsid w:val="00233FBE"/>
    <w:rsid w:val="00234AF9"/>
    <w:rsid w:val="00237116"/>
    <w:rsid w:val="002457A5"/>
    <w:rsid w:val="002466EB"/>
    <w:rsid w:val="0025287D"/>
    <w:rsid w:val="00253528"/>
    <w:rsid w:val="00261A59"/>
    <w:rsid w:val="00262A06"/>
    <w:rsid w:val="0026427B"/>
    <w:rsid w:val="002655CA"/>
    <w:rsid w:val="002700C8"/>
    <w:rsid w:val="002753B0"/>
    <w:rsid w:val="00275560"/>
    <w:rsid w:val="002810BF"/>
    <w:rsid w:val="00282387"/>
    <w:rsid w:val="002A0C43"/>
    <w:rsid w:val="002A2FF8"/>
    <w:rsid w:val="002A4B4A"/>
    <w:rsid w:val="002B026F"/>
    <w:rsid w:val="002B064B"/>
    <w:rsid w:val="002B1DA4"/>
    <w:rsid w:val="002B455E"/>
    <w:rsid w:val="002B5295"/>
    <w:rsid w:val="002B6715"/>
    <w:rsid w:val="002B74A8"/>
    <w:rsid w:val="002C24B4"/>
    <w:rsid w:val="002C2ACB"/>
    <w:rsid w:val="002C619A"/>
    <w:rsid w:val="002C6383"/>
    <w:rsid w:val="002D3296"/>
    <w:rsid w:val="002D49FD"/>
    <w:rsid w:val="002D788D"/>
    <w:rsid w:val="002E25E5"/>
    <w:rsid w:val="002E4E68"/>
    <w:rsid w:val="002E658C"/>
    <w:rsid w:val="002E7263"/>
    <w:rsid w:val="002F0904"/>
    <w:rsid w:val="002F4B91"/>
    <w:rsid w:val="002F5816"/>
    <w:rsid w:val="002F6475"/>
    <w:rsid w:val="00301E1F"/>
    <w:rsid w:val="0030252E"/>
    <w:rsid w:val="003032FA"/>
    <w:rsid w:val="00304302"/>
    <w:rsid w:val="0030472C"/>
    <w:rsid w:val="00307B37"/>
    <w:rsid w:val="00310FA3"/>
    <w:rsid w:val="00312ADF"/>
    <w:rsid w:val="00314A30"/>
    <w:rsid w:val="00320D56"/>
    <w:rsid w:val="003210A8"/>
    <w:rsid w:val="003214A8"/>
    <w:rsid w:val="00322078"/>
    <w:rsid w:val="003224FB"/>
    <w:rsid w:val="00325596"/>
    <w:rsid w:val="00326060"/>
    <w:rsid w:val="003320CB"/>
    <w:rsid w:val="00345822"/>
    <w:rsid w:val="0034793D"/>
    <w:rsid w:val="00352AD8"/>
    <w:rsid w:val="003605E3"/>
    <w:rsid w:val="0036065F"/>
    <w:rsid w:val="00360BD1"/>
    <w:rsid w:val="00360DA4"/>
    <w:rsid w:val="00362D6A"/>
    <w:rsid w:val="00364363"/>
    <w:rsid w:val="00366166"/>
    <w:rsid w:val="00366229"/>
    <w:rsid w:val="00366C63"/>
    <w:rsid w:val="00372C36"/>
    <w:rsid w:val="00375005"/>
    <w:rsid w:val="00375ED0"/>
    <w:rsid w:val="003764B8"/>
    <w:rsid w:val="00377D25"/>
    <w:rsid w:val="00380D6C"/>
    <w:rsid w:val="003825E4"/>
    <w:rsid w:val="00382CAE"/>
    <w:rsid w:val="00383DEE"/>
    <w:rsid w:val="00385FA0"/>
    <w:rsid w:val="00386F57"/>
    <w:rsid w:val="00393E20"/>
    <w:rsid w:val="003977B0"/>
    <w:rsid w:val="003A56B3"/>
    <w:rsid w:val="003A5DD8"/>
    <w:rsid w:val="003A6466"/>
    <w:rsid w:val="003A78D9"/>
    <w:rsid w:val="003A7D97"/>
    <w:rsid w:val="003B67B0"/>
    <w:rsid w:val="003B6C04"/>
    <w:rsid w:val="003C160F"/>
    <w:rsid w:val="003C1E99"/>
    <w:rsid w:val="003C4E21"/>
    <w:rsid w:val="003D1FEE"/>
    <w:rsid w:val="003D2271"/>
    <w:rsid w:val="003D3B77"/>
    <w:rsid w:val="003D600A"/>
    <w:rsid w:val="003E1330"/>
    <w:rsid w:val="003E2916"/>
    <w:rsid w:val="003E3FA5"/>
    <w:rsid w:val="003F0193"/>
    <w:rsid w:val="003F08C8"/>
    <w:rsid w:val="003F0CA0"/>
    <w:rsid w:val="003F2451"/>
    <w:rsid w:val="003F37E7"/>
    <w:rsid w:val="003F4D7C"/>
    <w:rsid w:val="003F749F"/>
    <w:rsid w:val="004005A6"/>
    <w:rsid w:val="004015A8"/>
    <w:rsid w:val="004017E2"/>
    <w:rsid w:val="00411069"/>
    <w:rsid w:val="0041403D"/>
    <w:rsid w:val="00415C1C"/>
    <w:rsid w:val="00416185"/>
    <w:rsid w:val="00420A2D"/>
    <w:rsid w:val="00424EE5"/>
    <w:rsid w:val="00425C3F"/>
    <w:rsid w:val="00426DDB"/>
    <w:rsid w:val="004277C3"/>
    <w:rsid w:val="004319DB"/>
    <w:rsid w:val="004333AB"/>
    <w:rsid w:val="0043652A"/>
    <w:rsid w:val="004365AE"/>
    <w:rsid w:val="00442E2D"/>
    <w:rsid w:val="00444E83"/>
    <w:rsid w:val="0044639A"/>
    <w:rsid w:val="00446C14"/>
    <w:rsid w:val="00450EFC"/>
    <w:rsid w:val="00460784"/>
    <w:rsid w:val="004619C4"/>
    <w:rsid w:val="004629C7"/>
    <w:rsid w:val="00462FA4"/>
    <w:rsid w:val="0046668D"/>
    <w:rsid w:val="00466FCF"/>
    <w:rsid w:val="00471DD5"/>
    <w:rsid w:val="00472A9F"/>
    <w:rsid w:val="0047306E"/>
    <w:rsid w:val="00475C90"/>
    <w:rsid w:val="00490276"/>
    <w:rsid w:val="00490DED"/>
    <w:rsid w:val="00497861"/>
    <w:rsid w:val="004A3852"/>
    <w:rsid w:val="004A387A"/>
    <w:rsid w:val="004A3AD6"/>
    <w:rsid w:val="004A512B"/>
    <w:rsid w:val="004A7262"/>
    <w:rsid w:val="004B098C"/>
    <w:rsid w:val="004B15F8"/>
    <w:rsid w:val="004B1D02"/>
    <w:rsid w:val="004B28C2"/>
    <w:rsid w:val="004B362F"/>
    <w:rsid w:val="004C04B0"/>
    <w:rsid w:val="004C0A10"/>
    <w:rsid w:val="004C26FF"/>
    <w:rsid w:val="004C340B"/>
    <w:rsid w:val="004C4A8B"/>
    <w:rsid w:val="004C7DCD"/>
    <w:rsid w:val="004D16F6"/>
    <w:rsid w:val="004D453F"/>
    <w:rsid w:val="004D633F"/>
    <w:rsid w:val="004E3113"/>
    <w:rsid w:val="004E3EF2"/>
    <w:rsid w:val="004E4B88"/>
    <w:rsid w:val="004F12BF"/>
    <w:rsid w:val="004F27E8"/>
    <w:rsid w:val="004F4358"/>
    <w:rsid w:val="004F62AF"/>
    <w:rsid w:val="004F633A"/>
    <w:rsid w:val="004F790A"/>
    <w:rsid w:val="00506C4E"/>
    <w:rsid w:val="00507538"/>
    <w:rsid w:val="00511931"/>
    <w:rsid w:val="00511F79"/>
    <w:rsid w:val="005304D4"/>
    <w:rsid w:val="00532F74"/>
    <w:rsid w:val="005339A8"/>
    <w:rsid w:val="00533DF5"/>
    <w:rsid w:val="00543BCE"/>
    <w:rsid w:val="00546ABC"/>
    <w:rsid w:val="00550E32"/>
    <w:rsid w:val="00554563"/>
    <w:rsid w:val="0056014F"/>
    <w:rsid w:val="0056181F"/>
    <w:rsid w:val="005645D5"/>
    <w:rsid w:val="00570314"/>
    <w:rsid w:val="005714B1"/>
    <w:rsid w:val="00572EEA"/>
    <w:rsid w:val="0057322D"/>
    <w:rsid w:val="00575AA6"/>
    <w:rsid w:val="005802BF"/>
    <w:rsid w:val="005839AF"/>
    <w:rsid w:val="00586FD5"/>
    <w:rsid w:val="0058714B"/>
    <w:rsid w:val="00587DDB"/>
    <w:rsid w:val="00595D68"/>
    <w:rsid w:val="00596F52"/>
    <w:rsid w:val="005A1559"/>
    <w:rsid w:val="005B09F8"/>
    <w:rsid w:val="005B2368"/>
    <w:rsid w:val="005B269E"/>
    <w:rsid w:val="005B36C4"/>
    <w:rsid w:val="005B39B0"/>
    <w:rsid w:val="005C4434"/>
    <w:rsid w:val="005C4EB4"/>
    <w:rsid w:val="005C69EF"/>
    <w:rsid w:val="005C771A"/>
    <w:rsid w:val="005D0F6A"/>
    <w:rsid w:val="005D45E0"/>
    <w:rsid w:val="005D4D20"/>
    <w:rsid w:val="005D51A9"/>
    <w:rsid w:val="005E09A7"/>
    <w:rsid w:val="005F18D9"/>
    <w:rsid w:val="005F3B98"/>
    <w:rsid w:val="005F6121"/>
    <w:rsid w:val="005F647F"/>
    <w:rsid w:val="005F65CD"/>
    <w:rsid w:val="006010F5"/>
    <w:rsid w:val="00602071"/>
    <w:rsid w:val="00606797"/>
    <w:rsid w:val="006077DB"/>
    <w:rsid w:val="00611146"/>
    <w:rsid w:val="006150EB"/>
    <w:rsid w:val="00615385"/>
    <w:rsid w:val="00615872"/>
    <w:rsid w:val="0062030A"/>
    <w:rsid w:val="00621AFD"/>
    <w:rsid w:val="006234B6"/>
    <w:rsid w:val="00631711"/>
    <w:rsid w:val="0063693B"/>
    <w:rsid w:val="00636BE6"/>
    <w:rsid w:val="006412D6"/>
    <w:rsid w:val="00646991"/>
    <w:rsid w:val="00646D71"/>
    <w:rsid w:val="006477CB"/>
    <w:rsid w:val="006504C4"/>
    <w:rsid w:val="00650C4E"/>
    <w:rsid w:val="00652730"/>
    <w:rsid w:val="00654FC6"/>
    <w:rsid w:val="00660881"/>
    <w:rsid w:val="0066150B"/>
    <w:rsid w:val="00665977"/>
    <w:rsid w:val="00671C6F"/>
    <w:rsid w:val="00686F72"/>
    <w:rsid w:val="00695697"/>
    <w:rsid w:val="00697EB6"/>
    <w:rsid w:val="006A0FF0"/>
    <w:rsid w:val="006A4E0F"/>
    <w:rsid w:val="006A6B3A"/>
    <w:rsid w:val="006B227E"/>
    <w:rsid w:val="006B247C"/>
    <w:rsid w:val="006B6698"/>
    <w:rsid w:val="006C1959"/>
    <w:rsid w:val="006C2F9B"/>
    <w:rsid w:val="006C66A8"/>
    <w:rsid w:val="006C6CDF"/>
    <w:rsid w:val="006E3D13"/>
    <w:rsid w:val="006E5639"/>
    <w:rsid w:val="006E6991"/>
    <w:rsid w:val="006E6E64"/>
    <w:rsid w:val="006F3A79"/>
    <w:rsid w:val="006F7AA7"/>
    <w:rsid w:val="007019C1"/>
    <w:rsid w:val="00702234"/>
    <w:rsid w:val="00706E88"/>
    <w:rsid w:val="0071062C"/>
    <w:rsid w:val="00713D32"/>
    <w:rsid w:val="00715656"/>
    <w:rsid w:val="007160DE"/>
    <w:rsid w:val="0072057A"/>
    <w:rsid w:val="007268AB"/>
    <w:rsid w:val="007278DB"/>
    <w:rsid w:val="0073009D"/>
    <w:rsid w:val="00733134"/>
    <w:rsid w:val="00734090"/>
    <w:rsid w:val="0073596B"/>
    <w:rsid w:val="00740B7A"/>
    <w:rsid w:val="00742A81"/>
    <w:rsid w:val="007456C5"/>
    <w:rsid w:val="00745B4D"/>
    <w:rsid w:val="00746B80"/>
    <w:rsid w:val="00752BE7"/>
    <w:rsid w:val="00753DCF"/>
    <w:rsid w:val="00754D16"/>
    <w:rsid w:val="0075512B"/>
    <w:rsid w:val="00757CBE"/>
    <w:rsid w:val="00762518"/>
    <w:rsid w:val="007629B0"/>
    <w:rsid w:val="00764E03"/>
    <w:rsid w:val="00766199"/>
    <w:rsid w:val="0076775A"/>
    <w:rsid w:val="007720F2"/>
    <w:rsid w:val="00773634"/>
    <w:rsid w:val="00773D72"/>
    <w:rsid w:val="007743A9"/>
    <w:rsid w:val="0077468E"/>
    <w:rsid w:val="00776D20"/>
    <w:rsid w:val="00780290"/>
    <w:rsid w:val="00780871"/>
    <w:rsid w:val="00783345"/>
    <w:rsid w:val="00783BA8"/>
    <w:rsid w:val="007853EF"/>
    <w:rsid w:val="007861EB"/>
    <w:rsid w:val="00790AB4"/>
    <w:rsid w:val="007932FA"/>
    <w:rsid w:val="00797058"/>
    <w:rsid w:val="007A1DC9"/>
    <w:rsid w:val="007A2557"/>
    <w:rsid w:val="007A38D4"/>
    <w:rsid w:val="007A4E5B"/>
    <w:rsid w:val="007A550E"/>
    <w:rsid w:val="007B1FF6"/>
    <w:rsid w:val="007B54B1"/>
    <w:rsid w:val="007B5FC8"/>
    <w:rsid w:val="007C19C1"/>
    <w:rsid w:val="007C3110"/>
    <w:rsid w:val="007C3FF0"/>
    <w:rsid w:val="007C4BE5"/>
    <w:rsid w:val="007C4D93"/>
    <w:rsid w:val="007C778D"/>
    <w:rsid w:val="007C7AA4"/>
    <w:rsid w:val="007D0C51"/>
    <w:rsid w:val="007D47D8"/>
    <w:rsid w:val="007E2313"/>
    <w:rsid w:val="007E2719"/>
    <w:rsid w:val="007E56CB"/>
    <w:rsid w:val="007E6F70"/>
    <w:rsid w:val="007E776D"/>
    <w:rsid w:val="007E797F"/>
    <w:rsid w:val="007F46DC"/>
    <w:rsid w:val="00802049"/>
    <w:rsid w:val="00805DBA"/>
    <w:rsid w:val="00807F3D"/>
    <w:rsid w:val="0081220B"/>
    <w:rsid w:val="00814F8C"/>
    <w:rsid w:val="00815158"/>
    <w:rsid w:val="008158F0"/>
    <w:rsid w:val="008161AB"/>
    <w:rsid w:val="00816D20"/>
    <w:rsid w:val="008223FF"/>
    <w:rsid w:val="00822A1E"/>
    <w:rsid w:val="0082341A"/>
    <w:rsid w:val="00824C3E"/>
    <w:rsid w:val="00833C34"/>
    <w:rsid w:val="00846B98"/>
    <w:rsid w:val="00852429"/>
    <w:rsid w:val="00852A23"/>
    <w:rsid w:val="00861527"/>
    <w:rsid w:val="008638B1"/>
    <w:rsid w:val="008643B7"/>
    <w:rsid w:val="0086755C"/>
    <w:rsid w:val="008717F2"/>
    <w:rsid w:val="0087373B"/>
    <w:rsid w:val="0087534E"/>
    <w:rsid w:val="008776F8"/>
    <w:rsid w:val="00882E32"/>
    <w:rsid w:val="00883DDB"/>
    <w:rsid w:val="00885C01"/>
    <w:rsid w:val="00890F34"/>
    <w:rsid w:val="00892235"/>
    <w:rsid w:val="00897B6C"/>
    <w:rsid w:val="008A2DB7"/>
    <w:rsid w:val="008A340F"/>
    <w:rsid w:val="008A658D"/>
    <w:rsid w:val="008B2975"/>
    <w:rsid w:val="008B39B3"/>
    <w:rsid w:val="008B56BA"/>
    <w:rsid w:val="008B57DA"/>
    <w:rsid w:val="008C05F3"/>
    <w:rsid w:val="008C1CF1"/>
    <w:rsid w:val="008D3A0F"/>
    <w:rsid w:val="008D4E2A"/>
    <w:rsid w:val="008E54E7"/>
    <w:rsid w:val="008F3217"/>
    <w:rsid w:val="008F3DC5"/>
    <w:rsid w:val="008F6CCC"/>
    <w:rsid w:val="009065BF"/>
    <w:rsid w:val="00911D4C"/>
    <w:rsid w:val="00913BDC"/>
    <w:rsid w:val="00917A1C"/>
    <w:rsid w:val="0092002F"/>
    <w:rsid w:val="0092095B"/>
    <w:rsid w:val="0092098A"/>
    <w:rsid w:val="00922CAF"/>
    <w:rsid w:val="00925935"/>
    <w:rsid w:val="009259AD"/>
    <w:rsid w:val="00926BF5"/>
    <w:rsid w:val="0092704D"/>
    <w:rsid w:val="009325A6"/>
    <w:rsid w:val="00935E78"/>
    <w:rsid w:val="00936708"/>
    <w:rsid w:val="00936FD1"/>
    <w:rsid w:val="009422CA"/>
    <w:rsid w:val="00942474"/>
    <w:rsid w:val="00943AF4"/>
    <w:rsid w:val="0094515D"/>
    <w:rsid w:val="00952365"/>
    <w:rsid w:val="00953436"/>
    <w:rsid w:val="009606AF"/>
    <w:rsid w:val="00960EF9"/>
    <w:rsid w:val="009651DF"/>
    <w:rsid w:val="00965B34"/>
    <w:rsid w:val="009674FB"/>
    <w:rsid w:val="0096780D"/>
    <w:rsid w:val="009678A7"/>
    <w:rsid w:val="009724B6"/>
    <w:rsid w:val="009730D0"/>
    <w:rsid w:val="00973B08"/>
    <w:rsid w:val="00974B69"/>
    <w:rsid w:val="00974DBD"/>
    <w:rsid w:val="00975F7B"/>
    <w:rsid w:val="00976019"/>
    <w:rsid w:val="009768C5"/>
    <w:rsid w:val="00991D9F"/>
    <w:rsid w:val="0099226C"/>
    <w:rsid w:val="00993541"/>
    <w:rsid w:val="009948A1"/>
    <w:rsid w:val="0099562A"/>
    <w:rsid w:val="0099612D"/>
    <w:rsid w:val="00996E5F"/>
    <w:rsid w:val="00996EFF"/>
    <w:rsid w:val="009A649C"/>
    <w:rsid w:val="009B1CE4"/>
    <w:rsid w:val="009B2913"/>
    <w:rsid w:val="009B6578"/>
    <w:rsid w:val="009C5DB4"/>
    <w:rsid w:val="009C7073"/>
    <w:rsid w:val="009D3B3E"/>
    <w:rsid w:val="009D682C"/>
    <w:rsid w:val="009E367B"/>
    <w:rsid w:val="009E5D96"/>
    <w:rsid w:val="009E5E4E"/>
    <w:rsid w:val="009E6DD4"/>
    <w:rsid w:val="009E71DA"/>
    <w:rsid w:val="009F1694"/>
    <w:rsid w:val="009F201A"/>
    <w:rsid w:val="009F221F"/>
    <w:rsid w:val="009F2F17"/>
    <w:rsid w:val="00A0371B"/>
    <w:rsid w:val="00A03EB4"/>
    <w:rsid w:val="00A0605C"/>
    <w:rsid w:val="00A1336E"/>
    <w:rsid w:val="00A1633E"/>
    <w:rsid w:val="00A1651F"/>
    <w:rsid w:val="00A2127D"/>
    <w:rsid w:val="00A234CE"/>
    <w:rsid w:val="00A24225"/>
    <w:rsid w:val="00A315C3"/>
    <w:rsid w:val="00A31861"/>
    <w:rsid w:val="00A3244C"/>
    <w:rsid w:val="00A378AC"/>
    <w:rsid w:val="00A4036A"/>
    <w:rsid w:val="00A41274"/>
    <w:rsid w:val="00A417CE"/>
    <w:rsid w:val="00A44516"/>
    <w:rsid w:val="00A51270"/>
    <w:rsid w:val="00A55258"/>
    <w:rsid w:val="00A57DBE"/>
    <w:rsid w:val="00A626C7"/>
    <w:rsid w:val="00A626E8"/>
    <w:rsid w:val="00A63C54"/>
    <w:rsid w:val="00A6441D"/>
    <w:rsid w:val="00A72BB4"/>
    <w:rsid w:val="00A73443"/>
    <w:rsid w:val="00A750FD"/>
    <w:rsid w:val="00A77C49"/>
    <w:rsid w:val="00A8089F"/>
    <w:rsid w:val="00A8252D"/>
    <w:rsid w:val="00A84498"/>
    <w:rsid w:val="00A87609"/>
    <w:rsid w:val="00A91241"/>
    <w:rsid w:val="00A91F0D"/>
    <w:rsid w:val="00A9729B"/>
    <w:rsid w:val="00AA05D3"/>
    <w:rsid w:val="00AA41D0"/>
    <w:rsid w:val="00AA4AD2"/>
    <w:rsid w:val="00AA57C9"/>
    <w:rsid w:val="00AB05AE"/>
    <w:rsid w:val="00AB0E5F"/>
    <w:rsid w:val="00AB39E4"/>
    <w:rsid w:val="00AB649C"/>
    <w:rsid w:val="00AC0656"/>
    <w:rsid w:val="00AC08E7"/>
    <w:rsid w:val="00AC0C74"/>
    <w:rsid w:val="00AC2527"/>
    <w:rsid w:val="00AC3400"/>
    <w:rsid w:val="00AC7B7F"/>
    <w:rsid w:val="00AD12F3"/>
    <w:rsid w:val="00AD1BB4"/>
    <w:rsid w:val="00AE4269"/>
    <w:rsid w:val="00AE57EB"/>
    <w:rsid w:val="00AF248A"/>
    <w:rsid w:val="00B012D8"/>
    <w:rsid w:val="00B02430"/>
    <w:rsid w:val="00B034EB"/>
    <w:rsid w:val="00B03708"/>
    <w:rsid w:val="00B04B59"/>
    <w:rsid w:val="00B05584"/>
    <w:rsid w:val="00B05778"/>
    <w:rsid w:val="00B068D3"/>
    <w:rsid w:val="00B109DE"/>
    <w:rsid w:val="00B123E4"/>
    <w:rsid w:val="00B12C68"/>
    <w:rsid w:val="00B14956"/>
    <w:rsid w:val="00B21E31"/>
    <w:rsid w:val="00B21FB0"/>
    <w:rsid w:val="00B23E93"/>
    <w:rsid w:val="00B25075"/>
    <w:rsid w:val="00B27441"/>
    <w:rsid w:val="00B27C8E"/>
    <w:rsid w:val="00B331F6"/>
    <w:rsid w:val="00B356FB"/>
    <w:rsid w:val="00B35CC5"/>
    <w:rsid w:val="00B35DAC"/>
    <w:rsid w:val="00B406B9"/>
    <w:rsid w:val="00B40CAB"/>
    <w:rsid w:val="00B41D18"/>
    <w:rsid w:val="00B42461"/>
    <w:rsid w:val="00B438DD"/>
    <w:rsid w:val="00B467C6"/>
    <w:rsid w:val="00B46CF9"/>
    <w:rsid w:val="00B472F7"/>
    <w:rsid w:val="00B52297"/>
    <w:rsid w:val="00B62312"/>
    <w:rsid w:val="00B6351E"/>
    <w:rsid w:val="00B66055"/>
    <w:rsid w:val="00B7751E"/>
    <w:rsid w:val="00B802A9"/>
    <w:rsid w:val="00B81E31"/>
    <w:rsid w:val="00B82D01"/>
    <w:rsid w:val="00B83C17"/>
    <w:rsid w:val="00B9094F"/>
    <w:rsid w:val="00B91182"/>
    <w:rsid w:val="00B96A0B"/>
    <w:rsid w:val="00BA07C3"/>
    <w:rsid w:val="00BA13C2"/>
    <w:rsid w:val="00BA157E"/>
    <w:rsid w:val="00BA1D60"/>
    <w:rsid w:val="00BA39BE"/>
    <w:rsid w:val="00BA3FB6"/>
    <w:rsid w:val="00BB021A"/>
    <w:rsid w:val="00BB185E"/>
    <w:rsid w:val="00BB469C"/>
    <w:rsid w:val="00BB4F22"/>
    <w:rsid w:val="00BB541F"/>
    <w:rsid w:val="00BB6A11"/>
    <w:rsid w:val="00BC1400"/>
    <w:rsid w:val="00BC1EC5"/>
    <w:rsid w:val="00BC4999"/>
    <w:rsid w:val="00BD091B"/>
    <w:rsid w:val="00BD1466"/>
    <w:rsid w:val="00BD3741"/>
    <w:rsid w:val="00BD5BF7"/>
    <w:rsid w:val="00BE2E3C"/>
    <w:rsid w:val="00BE6D47"/>
    <w:rsid w:val="00BE6F1F"/>
    <w:rsid w:val="00BF1063"/>
    <w:rsid w:val="00BF3031"/>
    <w:rsid w:val="00BF3BEF"/>
    <w:rsid w:val="00BF6771"/>
    <w:rsid w:val="00BF74FF"/>
    <w:rsid w:val="00C048C9"/>
    <w:rsid w:val="00C05214"/>
    <w:rsid w:val="00C10B7C"/>
    <w:rsid w:val="00C1127F"/>
    <w:rsid w:val="00C12A4E"/>
    <w:rsid w:val="00C14DA5"/>
    <w:rsid w:val="00C15407"/>
    <w:rsid w:val="00C15B29"/>
    <w:rsid w:val="00C20494"/>
    <w:rsid w:val="00C2252B"/>
    <w:rsid w:val="00C2605E"/>
    <w:rsid w:val="00C27F86"/>
    <w:rsid w:val="00C34D02"/>
    <w:rsid w:val="00C363A8"/>
    <w:rsid w:val="00C3780A"/>
    <w:rsid w:val="00C41627"/>
    <w:rsid w:val="00C4260F"/>
    <w:rsid w:val="00C4322B"/>
    <w:rsid w:val="00C43B45"/>
    <w:rsid w:val="00C50D08"/>
    <w:rsid w:val="00C53539"/>
    <w:rsid w:val="00C53988"/>
    <w:rsid w:val="00C5574F"/>
    <w:rsid w:val="00C56739"/>
    <w:rsid w:val="00C61D51"/>
    <w:rsid w:val="00C636EA"/>
    <w:rsid w:val="00C6379D"/>
    <w:rsid w:val="00C644CB"/>
    <w:rsid w:val="00C65597"/>
    <w:rsid w:val="00C66631"/>
    <w:rsid w:val="00C67897"/>
    <w:rsid w:val="00C708D9"/>
    <w:rsid w:val="00C70E37"/>
    <w:rsid w:val="00C70F40"/>
    <w:rsid w:val="00C73E5F"/>
    <w:rsid w:val="00C75914"/>
    <w:rsid w:val="00C75E4B"/>
    <w:rsid w:val="00C81534"/>
    <w:rsid w:val="00C8313B"/>
    <w:rsid w:val="00C8473B"/>
    <w:rsid w:val="00C925BD"/>
    <w:rsid w:val="00C9413C"/>
    <w:rsid w:val="00C9596C"/>
    <w:rsid w:val="00C95D3B"/>
    <w:rsid w:val="00CA0135"/>
    <w:rsid w:val="00CA02F5"/>
    <w:rsid w:val="00CA4C2E"/>
    <w:rsid w:val="00CA6F7C"/>
    <w:rsid w:val="00CB0A4C"/>
    <w:rsid w:val="00CB5EE8"/>
    <w:rsid w:val="00CB6315"/>
    <w:rsid w:val="00CB64CF"/>
    <w:rsid w:val="00CC0121"/>
    <w:rsid w:val="00CC03B0"/>
    <w:rsid w:val="00CC1131"/>
    <w:rsid w:val="00CC258F"/>
    <w:rsid w:val="00CC66D1"/>
    <w:rsid w:val="00CC7E43"/>
    <w:rsid w:val="00CD188D"/>
    <w:rsid w:val="00CD4B72"/>
    <w:rsid w:val="00CD74E1"/>
    <w:rsid w:val="00CE1305"/>
    <w:rsid w:val="00CE3120"/>
    <w:rsid w:val="00CE3B49"/>
    <w:rsid w:val="00CE5786"/>
    <w:rsid w:val="00CE6A35"/>
    <w:rsid w:val="00CF00E6"/>
    <w:rsid w:val="00CF09A4"/>
    <w:rsid w:val="00CF3D55"/>
    <w:rsid w:val="00CF5B79"/>
    <w:rsid w:val="00CF7A6B"/>
    <w:rsid w:val="00D00614"/>
    <w:rsid w:val="00D037D2"/>
    <w:rsid w:val="00D040CE"/>
    <w:rsid w:val="00D06356"/>
    <w:rsid w:val="00D06F6B"/>
    <w:rsid w:val="00D07529"/>
    <w:rsid w:val="00D122E7"/>
    <w:rsid w:val="00D1401B"/>
    <w:rsid w:val="00D17AEA"/>
    <w:rsid w:val="00D20BF9"/>
    <w:rsid w:val="00D21382"/>
    <w:rsid w:val="00D21FF0"/>
    <w:rsid w:val="00D22925"/>
    <w:rsid w:val="00D23EEE"/>
    <w:rsid w:val="00D25C6D"/>
    <w:rsid w:val="00D306AB"/>
    <w:rsid w:val="00D32611"/>
    <w:rsid w:val="00D33F25"/>
    <w:rsid w:val="00D370C8"/>
    <w:rsid w:val="00D37453"/>
    <w:rsid w:val="00D417CC"/>
    <w:rsid w:val="00D45D4E"/>
    <w:rsid w:val="00D50200"/>
    <w:rsid w:val="00D505BB"/>
    <w:rsid w:val="00D50DBD"/>
    <w:rsid w:val="00D51F78"/>
    <w:rsid w:val="00D5361B"/>
    <w:rsid w:val="00D61228"/>
    <w:rsid w:val="00D672F7"/>
    <w:rsid w:val="00D715BB"/>
    <w:rsid w:val="00D72F48"/>
    <w:rsid w:val="00D73138"/>
    <w:rsid w:val="00D745AB"/>
    <w:rsid w:val="00D75A73"/>
    <w:rsid w:val="00D76CA6"/>
    <w:rsid w:val="00D77637"/>
    <w:rsid w:val="00DA0131"/>
    <w:rsid w:val="00DA1AA7"/>
    <w:rsid w:val="00DA28FE"/>
    <w:rsid w:val="00DA3A38"/>
    <w:rsid w:val="00DB0CC8"/>
    <w:rsid w:val="00DB0D79"/>
    <w:rsid w:val="00DB1510"/>
    <w:rsid w:val="00DB5B98"/>
    <w:rsid w:val="00DC166E"/>
    <w:rsid w:val="00DC17AD"/>
    <w:rsid w:val="00DC472F"/>
    <w:rsid w:val="00DC55A5"/>
    <w:rsid w:val="00DD00B5"/>
    <w:rsid w:val="00DD0743"/>
    <w:rsid w:val="00DD0A3B"/>
    <w:rsid w:val="00DD12CF"/>
    <w:rsid w:val="00DD1D05"/>
    <w:rsid w:val="00DD34EE"/>
    <w:rsid w:val="00DD46B9"/>
    <w:rsid w:val="00DD49F3"/>
    <w:rsid w:val="00DD6CA8"/>
    <w:rsid w:val="00DE4AE3"/>
    <w:rsid w:val="00DE7872"/>
    <w:rsid w:val="00DE7933"/>
    <w:rsid w:val="00DF16A6"/>
    <w:rsid w:val="00DF675F"/>
    <w:rsid w:val="00E02E7E"/>
    <w:rsid w:val="00E03568"/>
    <w:rsid w:val="00E05B43"/>
    <w:rsid w:val="00E06F5C"/>
    <w:rsid w:val="00E07E17"/>
    <w:rsid w:val="00E11496"/>
    <w:rsid w:val="00E12780"/>
    <w:rsid w:val="00E12C76"/>
    <w:rsid w:val="00E13977"/>
    <w:rsid w:val="00E13DA7"/>
    <w:rsid w:val="00E243EA"/>
    <w:rsid w:val="00E26CDC"/>
    <w:rsid w:val="00E37656"/>
    <w:rsid w:val="00E37CD0"/>
    <w:rsid w:val="00E409DD"/>
    <w:rsid w:val="00E41FBD"/>
    <w:rsid w:val="00E426E4"/>
    <w:rsid w:val="00E44F23"/>
    <w:rsid w:val="00E460E7"/>
    <w:rsid w:val="00E46F6B"/>
    <w:rsid w:val="00E511C1"/>
    <w:rsid w:val="00E534E5"/>
    <w:rsid w:val="00E534E6"/>
    <w:rsid w:val="00E5504C"/>
    <w:rsid w:val="00E60951"/>
    <w:rsid w:val="00E60E3B"/>
    <w:rsid w:val="00E64261"/>
    <w:rsid w:val="00E708B2"/>
    <w:rsid w:val="00E715DE"/>
    <w:rsid w:val="00E71779"/>
    <w:rsid w:val="00E74AB7"/>
    <w:rsid w:val="00E815B3"/>
    <w:rsid w:val="00E82BAD"/>
    <w:rsid w:val="00E9096D"/>
    <w:rsid w:val="00E93384"/>
    <w:rsid w:val="00E955AE"/>
    <w:rsid w:val="00EA4CD4"/>
    <w:rsid w:val="00EB0170"/>
    <w:rsid w:val="00EC07B2"/>
    <w:rsid w:val="00EC18A4"/>
    <w:rsid w:val="00EC1D3F"/>
    <w:rsid w:val="00EC264F"/>
    <w:rsid w:val="00EC27B2"/>
    <w:rsid w:val="00EC2B0E"/>
    <w:rsid w:val="00EC2D62"/>
    <w:rsid w:val="00EC55AA"/>
    <w:rsid w:val="00EC5C54"/>
    <w:rsid w:val="00EC611C"/>
    <w:rsid w:val="00ED09D9"/>
    <w:rsid w:val="00ED11D1"/>
    <w:rsid w:val="00ED2F80"/>
    <w:rsid w:val="00ED38A8"/>
    <w:rsid w:val="00ED3E00"/>
    <w:rsid w:val="00ED6628"/>
    <w:rsid w:val="00EE22EF"/>
    <w:rsid w:val="00EE26E5"/>
    <w:rsid w:val="00EE4BF0"/>
    <w:rsid w:val="00EE735D"/>
    <w:rsid w:val="00EF4C9F"/>
    <w:rsid w:val="00EF4CD5"/>
    <w:rsid w:val="00EF5A63"/>
    <w:rsid w:val="00F07A5F"/>
    <w:rsid w:val="00F10AA9"/>
    <w:rsid w:val="00F114E8"/>
    <w:rsid w:val="00F13D85"/>
    <w:rsid w:val="00F15760"/>
    <w:rsid w:val="00F16CB6"/>
    <w:rsid w:val="00F173E6"/>
    <w:rsid w:val="00F27C8E"/>
    <w:rsid w:val="00F347CB"/>
    <w:rsid w:val="00F358C8"/>
    <w:rsid w:val="00F40444"/>
    <w:rsid w:val="00F4141C"/>
    <w:rsid w:val="00F4383D"/>
    <w:rsid w:val="00F45A55"/>
    <w:rsid w:val="00F46E1C"/>
    <w:rsid w:val="00F52552"/>
    <w:rsid w:val="00F54A9B"/>
    <w:rsid w:val="00F55D88"/>
    <w:rsid w:val="00F56917"/>
    <w:rsid w:val="00F607E2"/>
    <w:rsid w:val="00F62330"/>
    <w:rsid w:val="00F72082"/>
    <w:rsid w:val="00F72CE3"/>
    <w:rsid w:val="00F7445D"/>
    <w:rsid w:val="00F756A6"/>
    <w:rsid w:val="00F776E9"/>
    <w:rsid w:val="00F77C6F"/>
    <w:rsid w:val="00F85978"/>
    <w:rsid w:val="00F916FB"/>
    <w:rsid w:val="00F931E0"/>
    <w:rsid w:val="00F93B85"/>
    <w:rsid w:val="00F94E93"/>
    <w:rsid w:val="00F963E1"/>
    <w:rsid w:val="00F96823"/>
    <w:rsid w:val="00FA21A8"/>
    <w:rsid w:val="00FA4B1F"/>
    <w:rsid w:val="00FA4BED"/>
    <w:rsid w:val="00FA71BF"/>
    <w:rsid w:val="00FB066A"/>
    <w:rsid w:val="00FB1D9A"/>
    <w:rsid w:val="00FB6348"/>
    <w:rsid w:val="00FB663D"/>
    <w:rsid w:val="00FC117D"/>
    <w:rsid w:val="00FC13AC"/>
    <w:rsid w:val="00FC2466"/>
    <w:rsid w:val="00FC3825"/>
    <w:rsid w:val="00FC5621"/>
    <w:rsid w:val="00FC7129"/>
    <w:rsid w:val="00FC791C"/>
    <w:rsid w:val="00FD0140"/>
    <w:rsid w:val="00FD0ED5"/>
    <w:rsid w:val="00FD1C47"/>
    <w:rsid w:val="00FD6C15"/>
    <w:rsid w:val="00FE689F"/>
    <w:rsid w:val="00FF0BE1"/>
    <w:rsid w:val="00FF2809"/>
    <w:rsid w:val="00FF5B98"/>
    <w:rsid w:val="00FF6C45"/>
    <w:rsid w:val="00FF700F"/>
    <w:rsid w:val="0248F639"/>
    <w:rsid w:val="030B8D5A"/>
    <w:rsid w:val="030D0D0A"/>
    <w:rsid w:val="044A3134"/>
    <w:rsid w:val="0A5F0DB5"/>
    <w:rsid w:val="0B013A4F"/>
    <w:rsid w:val="0B2D14E6"/>
    <w:rsid w:val="10760CF7"/>
    <w:rsid w:val="158AC6BD"/>
    <w:rsid w:val="1607D502"/>
    <w:rsid w:val="17400991"/>
    <w:rsid w:val="1B080FF2"/>
    <w:rsid w:val="1BB7AD66"/>
    <w:rsid w:val="2F9DF8F2"/>
    <w:rsid w:val="3033CC13"/>
    <w:rsid w:val="320EC906"/>
    <w:rsid w:val="329FC115"/>
    <w:rsid w:val="3E767B0D"/>
    <w:rsid w:val="4444BDB9"/>
    <w:rsid w:val="4DB41483"/>
    <w:rsid w:val="4F2CCC1F"/>
    <w:rsid w:val="5119D7A0"/>
    <w:rsid w:val="52B0E016"/>
    <w:rsid w:val="551FA03E"/>
    <w:rsid w:val="574A46F0"/>
    <w:rsid w:val="63CD81E5"/>
    <w:rsid w:val="64524686"/>
    <w:rsid w:val="6801DCB6"/>
    <w:rsid w:val="6A84B81D"/>
    <w:rsid w:val="71870813"/>
    <w:rsid w:val="725051CB"/>
    <w:rsid w:val="732821EC"/>
    <w:rsid w:val="73AC2212"/>
    <w:rsid w:val="7C316F6E"/>
    <w:rsid w:val="7C3EA81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ED9E3"/>
  <w15:docId w15:val="{BE8CA6A8-21A2-4D2E-BBFA-00D3036E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E5F"/>
    <w:rPr>
      <w:rFonts w:ascii="Franklin Gothic Book" w:eastAsia="Times New Roman" w:hAnsi="Franklin Gothic Book"/>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73E5F"/>
    <w:pPr>
      <w:tabs>
        <w:tab w:val="center" w:pos="4536"/>
        <w:tab w:val="right" w:pos="9072"/>
      </w:tabs>
    </w:pPr>
  </w:style>
  <w:style w:type="character" w:customStyle="1" w:styleId="KopfzeileZchn">
    <w:name w:val="Kopfzeile Zchn"/>
    <w:basedOn w:val="Absatz-Standardschriftart"/>
    <w:link w:val="Kopfzeile"/>
    <w:uiPriority w:val="99"/>
    <w:locked/>
    <w:rsid w:val="00C73E5F"/>
    <w:rPr>
      <w:rFonts w:ascii="Franklin Gothic Book" w:hAnsi="Franklin Gothic Book" w:cs="Times New Roman"/>
      <w:sz w:val="24"/>
      <w:szCs w:val="24"/>
      <w:lang w:eastAsia="de-DE"/>
    </w:rPr>
  </w:style>
  <w:style w:type="paragraph" w:styleId="Fuzeile">
    <w:name w:val="footer"/>
    <w:basedOn w:val="Standard"/>
    <w:link w:val="FuzeileZchn"/>
    <w:uiPriority w:val="99"/>
    <w:rsid w:val="00C73E5F"/>
    <w:pPr>
      <w:tabs>
        <w:tab w:val="center" w:pos="4536"/>
        <w:tab w:val="right" w:pos="9072"/>
      </w:tabs>
    </w:pPr>
  </w:style>
  <w:style w:type="character" w:customStyle="1" w:styleId="FuzeileZchn">
    <w:name w:val="Fußzeile Zchn"/>
    <w:basedOn w:val="Absatz-Standardschriftart"/>
    <w:link w:val="Fuzeile"/>
    <w:uiPriority w:val="99"/>
    <w:locked/>
    <w:rsid w:val="00C73E5F"/>
    <w:rPr>
      <w:rFonts w:ascii="Franklin Gothic Book" w:hAnsi="Franklin Gothic Book" w:cs="Times New Roman"/>
      <w:sz w:val="24"/>
      <w:szCs w:val="24"/>
      <w:lang w:eastAsia="de-DE"/>
    </w:rPr>
  </w:style>
  <w:style w:type="character" w:styleId="Seitenzahl">
    <w:name w:val="page number"/>
    <w:basedOn w:val="Absatz-Standardschriftart"/>
    <w:uiPriority w:val="99"/>
    <w:rsid w:val="00C73E5F"/>
    <w:rPr>
      <w:rFonts w:cs="Times New Roman"/>
    </w:rPr>
  </w:style>
  <w:style w:type="paragraph" w:styleId="Sprechblasentext">
    <w:name w:val="Balloon Text"/>
    <w:basedOn w:val="Standard"/>
    <w:link w:val="SprechblasentextZchn"/>
    <w:uiPriority w:val="99"/>
    <w:semiHidden/>
    <w:rsid w:val="00C73E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73E5F"/>
    <w:rPr>
      <w:rFonts w:ascii="Tahoma" w:hAnsi="Tahoma" w:cs="Tahoma"/>
      <w:sz w:val="16"/>
      <w:szCs w:val="16"/>
      <w:lang w:eastAsia="de-DE"/>
    </w:rPr>
  </w:style>
  <w:style w:type="paragraph" w:styleId="StandardWeb">
    <w:name w:val="Normal (Web)"/>
    <w:basedOn w:val="Standard"/>
    <w:uiPriority w:val="99"/>
    <w:rsid w:val="003A6466"/>
    <w:pPr>
      <w:spacing w:before="100" w:beforeAutospacing="1" w:after="100" w:afterAutospacing="1"/>
    </w:pPr>
    <w:rPr>
      <w:rFonts w:ascii="Times New Roman" w:eastAsia="Calibri" w:hAnsi="Times New Roman"/>
      <w:sz w:val="24"/>
    </w:rPr>
  </w:style>
  <w:style w:type="character" w:styleId="Hyperlink">
    <w:name w:val="Hyperlink"/>
    <w:basedOn w:val="Absatz-Standardschriftart"/>
    <w:uiPriority w:val="99"/>
    <w:unhideWhenUsed/>
    <w:rsid w:val="00386F57"/>
    <w:rPr>
      <w:color w:val="0000FF" w:themeColor="hyperlink"/>
      <w:u w:val="single"/>
    </w:rPr>
  </w:style>
  <w:style w:type="character" w:styleId="HTMLAkronym">
    <w:name w:val="HTML Acronym"/>
    <w:basedOn w:val="Absatz-Standardschriftart"/>
    <w:uiPriority w:val="99"/>
    <w:semiHidden/>
    <w:unhideWhenUsed/>
    <w:rsid w:val="001A0352"/>
  </w:style>
  <w:style w:type="paragraph" w:customStyle="1" w:styleId="Text">
    <w:name w:val="Text"/>
    <w:basedOn w:val="Standard"/>
    <w:rsid w:val="00ED11D1"/>
    <w:pPr>
      <w:tabs>
        <w:tab w:val="left" w:pos="5535"/>
      </w:tabs>
      <w:spacing w:line="280" w:lineRule="exact"/>
      <w:ind w:right="1021"/>
    </w:pPr>
    <w:rPr>
      <w:rFonts w:ascii="Arial" w:hAnsi="Arial" w:cs="Arial"/>
      <w:szCs w:val="20"/>
    </w:rPr>
  </w:style>
  <w:style w:type="paragraph" w:styleId="KeinLeerraum">
    <w:name w:val="No Spacing"/>
    <w:uiPriority w:val="1"/>
    <w:qFormat/>
    <w:rsid w:val="00B03708"/>
    <w:rPr>
      <w:rFonts w:asciiTheme="minorHAnsi" w:eastAsiaTheme="minorHAnsi" w:hAnsiTheme="minorHAnsi" w:cstheme="minorBidi"/>
      <w:lang w:eastAsia="en-US"/>
    </w:rPr>
  </w:style>
  <w:style w:type="character" w:styleId="Kommentarzeichen">
    <w:name w:val="annotation reference"/>
    <w:basedOn w:val="Absatz-Standardschriftart"/>
    <w:uiPriority w:val="99"/>
    <w:semiHidden/>
    <w:unhideWhenUsed/>
    <w:rsid w:val="004E4B88"/>
    <w:rPr>
      <w:sz w:val="16"/>
      <w:szCs w:val="16"/>
    </w:rPr>
  </w:style>
  <w:style w:type="paragraph" w:styleId="Kommentartext">
    <w:name w:val="annotation text"/>
    <w:basedOn w:val="Standard"/>
    <w:link w:val="KommentartextZchn"/>
    <w:uiPriority w:val="99"/>
    <w:unhideWhenUsed/>
    <w:rsid w:val="004E4B88"/>
    <w:rPr>
      <w:sz w:val="20"/>
      <w:szCs w:val="20"/>
    </w:rPr>
  </w:style>
  <w:style w:type="character" w:customStyle="1" w:styleId="KommentartextZchn">
    <w:name w:val="Kommentartext Zchn"/>
    <w:basedOn w:val="Absatz-Standardschriftart"/>
    <w:link w:val="Kommentartext"/>
    <w:uiPriority w:val="99"/>
    <w:rsid w:val="004E4B88"/>
    <w:rPr>
      <w:rFonts w:ascii="Franklin Gothic Book" w:eastAsia="Times New Roman" w:hAnsi="Franklin Gothic Book"/>
      <w:sz w:val="20"/>
      <w:szCs w:val="20"/>
    </w:rPr>
  </w:style>
  <w:style w:type="paragraph" w:styleId="Kommentarthema">
    <w:name w:val="annotation subject"/>
    <w:basedOn w:val="Kommentartext"/>
    <w:next w:val="Kommentartext"/>
    <w:link w:val="KommentarthemaZchn"/>
    <w:uiPriority w:val="99"/>
    <w:semiHidden/>
    <w:unhideWhenUsed/>
    <w:rsid w:val="004E4B88"/>
    <w:rPr>
      <w:b/>
      <w:bCs/>
    </w:rPr>
  </w:style>
  <w:style w:type="character" w:customStyle="1" w:styleId="KommentarthemaZchn">
    <w:name w:val="Kommentarthema Zchn"/>
    <w:basedOn w:val="KommentartextZchn"/>
    <w:link w:val="Kommentarthema"/>
    <w:uiPriority w:val="99"/>
    <w:semiHidden/>
    <w:rsid w:val="004E4B88"/>
    <w:rPr>
      <w:rFonts w:ascii="Franklin Gothic Book" w:eastAsia="Times New Roman" w:hAnsi="Franklin Gothic Book"/>
      <w:b/>
      <w:bCs/>
      <w:sz w:val="20"/>
      <w:szCs w:val="20"/>
    </w:rPr>
  </w:style>
  <w:style w:type="paragraph" w:styleId="Dokumentstruktur">
    <w:name w:val="Document Map"/>
    <w:basedOn w:val="Standard"/>
    <w:link w:val="DokumentstrukturZchn"/>
    <w:uiPriority w:val="99"/>
    <w:semiHidden/>
    <w:unhideWhenUsed/>
    <w:rsid w:val="00CB6315"/>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CB6315"/>
    <w:rPr>
      <w:rFonts w:ascii="Tahoma" w:eastAsia="Times New Roman" w:hAnsi="Tahoma" w:cs="Tahoma"/>
      <w:sz w:val="16"/>
      <w:szCs w:val="16"/>
    </w:rPr>
  </w:style>
  <w:style w:type="paragraph" w:styleId="Listenabsatz">
    <w:name w:val="List Paragraph"/>
    <w:basedOn w:val="Standard"/>
    <w:uiPriority w:val="34"/>
    <w:qFormat/>
    <w:rsid w:val="00F07A5F"/>
    <w:pPr>
      <w:ind w:left="720"/>
      <w:contextualSpacing/>
    </w:pPr>
  </w:style>
  <w:style w:type="character" w:styleId="Hervorhebung">
    <w:name w:val="Emphasis"/>
    <w:basedOn w:val="Absatz-Standardschriftart"/>
    <w:uiPriority w:val="20"/>
    <w:qFormat/>
    <w:locked/>
    <w:rsid w:val="00102F67"/>
    <w:rPr>
      <w:i/>
      <w:iCs/>
    </w:rPr>
  </w:style>
  <w:style w:type="character" w:styleId="Fett">
    <w:name w:val="Strong"/>
    <w:basedOn w:val="Absatz-Standardschriftart"/>
    <w:uiPriority w:val="22"/>
    <w:qFormat/>
    <w:locked/>
    <w:rsid w:val="00233B84"/>
    <w:rPr>
      <w:b/>
      <w:bCs/>
    </w:rPr>
  </w:style>
  <w:style w:type="paragraph" w:styleId="berarbeitung">
    <w:name w:val="Revision"/>
    <w:hidden/>
    <w:uiPriority w:val="99"/>
    <w:semiHidden/>
    <w:rsid w:val="00BB541F"/>
    <w:rPr>
      <w:rFonts w:ascii="Franklin Gothic Book" w:eastAsia="Times New Roman" w:hAnsi="Franklin Gothic Book"/>
      <w:szCs w:val="24"/>
    </w:rPr>
  </w:style>
  <w:style w:type="character" w:styleId="NichtaufgelsteErwhnung">
    <w:name w:val="Unresolved Mention"/>
    <w:basedOn w:val="Absatz-Standardschriftart"/>
    <w:uiPriority w:val="99"/>
    <w:semiHidden/>
    <w:unhideWhenUsed/>
    <w:rsid w:val="00BA1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593">
      <w:bodyDiv w:val="1"/>
      <w:marLeft w:val="0"/>
      <w:marRight w:val="0"/>
      <w:marTop w:val="0"/>
      <w:marBottom w:val="0"/>
      <w:divBdr>
        <w:top w:val="none" w:sz="0" w:space="0" w:color="auto"/>
        <w:left w:val="none" w:sz="0" w:space="0" w:color="auto"/>
        <w:bottom w:val="none" w:sz="0" w:space="0" w:color="auto"/>
        <w:right w:val="none" w:sz="0" w:space="0" w:color="auto"/>
      </w:divBdr>
    </w:div>
    <w:div w:id="279147880">
      <w:bodyDiv w:val="1"/>
      <w:marLeft w:val="0"/>
      <w:marRight w:val="0"/>
      <w:marTop w:val="0"/>
      <w:marBottom w:val="0"/>
      <w:divBdr>
        <w:top w:val="none" w:sz="0" w:space="0" w:color="auto"/>
        <w:left w:val="none" w:sz="0" w:space="0" w:color="auto"/>
        <w:bottom w:val="none" w:sz="0" w:space="0" w:color="auto"/>
        <w:right w:val="none" w:sz="0" w:space="0" w:color="auto"/>
      </w:divBdr>
    </w:div>
    <w:div w:id="337971802">
      <w:bodyDiv w:val="1"/>
      <w:marLeft w:val="0"/>
      <w:marRight w:val="0"/>
      <w:marTop w:val="0"/>
      <w:marBottom w:val="0"/>
      <w:divBdr>
        <w:top w:val="none" w:sz="0" w:space="0" w:color="auto"/>
        <w:left w:val="none" w:sz="0" w:space="0" w:color="auto"/>
        <w:bottom w:val="none" w:sz="0" w:space="0" w:color="auto"/>
        <w:right w:val="none" w:sz="0" w:space="0" w:color="auto"/>
      </w:divBdr>
    </w:div>
    <w:div w:id="356929010">
      <w:bodyDiv w:val="1"/>
      <w:marLeft w:val="0"/>
      <w:marRight w:val="0"/>
      <w:marTop w:val="0"/>
      <w:marBottom w:val="0"/>
      <w:divBdr>
        <w:top w:val="none" w:sz="0" w:space="0" w:color="auto"/>
        <w:left w:val="none" w:sz="0" w:space="0" w:color="auto"/>
        <w:bottom w:val="none" w:sz="0" w:space="0" w:color="auto"/>
        <w:right w:val="none" w:sz="0" w:space="0" w:color="auto"/>
      </w:divBdr>
    </w:div>
    <w:div w:id="399445922">
      <w:bodyDiv w:val="1"/>
      <w:marLeft w:val="0"/>
      <w:marRight w:val="0"/>
      <w:marTop w:val="0"/>
      <w:marBottom w:val="0"/>
      <w:divBdr>
        <w:top w:val="none" w:sz="0" w:space="0" w:color="auto"/>
        <w:left w:val="none" w:sz="0" w:space="0" w:color="auto"/>
        <w:bottom w:val="none" w:sz="0" w:space="0" w:color="auto"/>
        <w:right w:val="none" w:sz="0" w:space="0" w:color="auto"/>
      </w:divBdr>
    </w:div>
    <w:div w:id="464348079">
      <w:bodyDiv w:val="1"/>
      <w:marLeft w:val="0"/>
      <w:marRight w:val="0"/>
      <w:marTop w:val="0"/>
      <w:marBottom w:val="0"/>
      <w:divBdr>
        <w:top w:val="none" w:sz="0" w:space="0" w:color="auto"/>
        <w:left w:val="none" w:sz="0" w:space="0" w:color="auto"/>
        <w:bottom w:val="none" w:sz="0" w:space="0" w:color="auto"/>
        <w:right w:val="none" w:sz="0" w:space="0" w:color="auto"/>
      </w:divBdr>
    </w:div>
    <w:div w:id="649945770">
      <w:bodyDiv w:val="1"/>
      <w:marLeft w:val="0"/>
      <w:marRight w:val="0"/>
      <w:marTop w:val="0"/>
      <w:marBottom w:val="0"/>
      <w:divBdr>
        <w:top w:val="none" w:sz="0" w:space="0" w:color="auto"/>
        <w:left w:val="none" w:sz="0" w:space="0" w:color="auto"/>
        <w:bottom w:val="none" w:sz="0" w:space="0" w:color="auto"/>
        <w:right w:val="none" w:sz="0" w:space="0" w:color="auto"/>
      </w:divBdr>
    </w:div>
    <w:div w:id="656803053">
      <w:marLeft w:val="0"/>
      <w:marRight w:val="0"/>
      <w:marTop w:val="0"/>
      <w:marBottom w:val="0"/>
      <w:divBdr>
        <w:top w:val="none" w:sz="0" w:space="0" w:color="auto"/>
        <w:left w:val="none" w:sz="0" w:space="0" w:color="auto"/>
        <w:bottom w:val="none" w:sz="0" w:space="0" w:color="auto"/>
        <w:right w:val="none" w:sz="0" w:space="0" w:color="auto"/>
      </w:divBdr>
    </w:div>
    <w:div w:id="656803054">
      <w:marLeft w:val="0"/>
      <w:marRight w:val="0"/>
      <w:marTop w:val="0"/>
      <w:marBottom w:val="0"/>
      <w:divBdr>
        <w:top w:val="none" w:sz="0" w:space="0" w:color="auto"/>
        <w:left w:val="none" w:sz="0" w:space="0" w:color="auto"/>
        <w:bottom w:val="none" w:sz="0" w:space="0" w:color="auto"/>
        <w:right w:val="none" w:sz="0" w:space="0" w:color="auto"/>
      </w:divBdr>
    </w:div>
    <w:div w:id="656803055">
      <w:marLeft w:val="0"/>
      <w:marRight w:val="0"/>
      <w:marTop w:val="0"/>
      <w:marBottom w:val="0"/>
      <w:divBdr>
        <w:top w:val="none" w:sz="0" w:space="0" w:color="auto"/>
        <w:left w:val="none" w:sz="0" w:space="0" w:color="auto"/>
        <w:bottom w:val="none" w:sz="0" w:space="0" w:color="auto"/>
        <w:right w:val="none" w:sz="0" w:space="0" w:color="auto"/>
      </w:divBdr>
    </w:div>
    <w:div w:id="656803056">
      <w:marLeft w:val="0"/>
      <w:marRight w:val="0"/>
      <w:marTop w:val="0"/>
      <w:marBottom w:val="0"/>
      <w:divBdr>
        <w:top w:val="none" w:sz="0" w:space="0" w:color="auto"/>
        <w:left w:val="none" w:sz="0" w:space="0" w:color="auto"/>
        <w:bottom w:val="none" w:sz="0" w:space="0" w:color="auto"/>
        <w:right w:val="none" w:sz="0" w:space="0" w:color="auto"/>
      </w:divBdr>
    </w:div>
    <w:div w:id="656803057">
      <w:marLeft w:val="0"/>
      <w:marRight w:val="0"/>
      <w:marTop w:val="0"/>
      <w:marBottom w:val="0"/>
      <w:divBdr>
        <w:top w:val="none" w:sz="0" w:space="0" w:color="auto"/>
        <w:left w:val="none" w:sz="0" w:space="0" w:color="auto"/>
        <w:bottom w:val="none" w:sz="0" w:space="0" w:color="auto"/>
        <w:right w:val="none" w:sz="0" w:space="0" w:color="auto"/>
      </w:divBdr>
    </w:div>
    <w:div w:id="656803058">
      <w:marLeft w:val="0"/>
      <w:marRight w:val="0"/>
      <w:marTop w:val="0"/>
      <w:marBottom w:val="0"/>
      <w:divBdr>
        <w:top w:val="none" w:sz="0" w:space="0" w:color="auto"/>
        <w:left w:val="none" w:sz="0" w:space="0" w:color="auto"/>
        <w:bottom w:val="none" w:sz="0" w:space="0" w:color="auto"/>
        <w:right w:val="none" w:sz="0" w:space="0" w:color="auto"/>
      </w:divBdr>
    </w:div>
    <w:div w:id="764765962">
      <w:bodyDiv w:val="1"/>
      <w:marLeft w:val="0"/>
      <w:marRight w:val="0"/>
      <w:marTop w:val="0"/>
      <w:marBottom w:val="0"/>
      <w:divBdr>
        <w:top w:val="none" w:sz="0" w:space="0" w:color="auto"/>
        <w:left w:val="none" w:sz="0" w:space="0" w:color="auto"/>
        <w:bottom w:val="none" w:sz="0" w:space="0" w:color="auto"/>
        <w:right w:val="none" w:sz="0" w:space="0" w:color="auto"/>
      </w:divBdr>
    </w:div>
    <w:div w:id="892740166">
      <w:bodyDiv w:val="1"/>
      <w:marLeft w:val="0"/>
      <w:marRight w:val="0"/>
      <w:marTop w:val="0"/>
      <w:marBottom w:val="0"/>
      <w:divBdr>
        <w:top w:val="none" w:sz="0" w:space="0" w:color="auto"/>
        <w:left w:val="none" w:sz="0" w:space="0" w:color="auto"/>
        <w:bottom w:val="none" w:sz="0" w:space="0" w:color="auto"/>
        <w:right w:val="none" w:sz="0" w:space="0" w:color="auto"/>
      </w:divBdr>
    </w:div>
    <w:div w:id="1145513416">
      <w:bodyDiv w:val="1"/>
      <w:marLeft w:val="0"/>
      <w:marRight w:val="0"/>
      <w:marTop w:val="0"/>
      <w:marBottom w:val="0"/>
      <w:divBdr>
        <w:top w:val="none" w:sz="0" w:space="0" w:color="auto"/>
        <w:left w:val="none" w:sz="0" w:space="0" w:color="auto"/>
        <w:bottom w:val="none" w:sz="0" w:space="0" w:color="auto"/>
        <w:right w:val="none" w:sz="0" w:space="0" w:color="auto"/>
      </w:divBdr>
    </w:div>
    <w:div w:id="1392732921">
      <w:bodyDiv w:val="1"/>
      <w:marLeft w:val="0"/>
      <w:marRight w:val="0"/>
      <w:marTop w:val="0"/>
      <w:marBottom w:val="0"/>
      <w:divBdr>
        <w:top w:val="none" w:sz="0" w:space="0" w:color="auto"/>
        <w:left w:val="none" w:sz="0" w:space="0" w:color="auto"/>
        <w:bottom w:val="none" w:sz="0" w:space="0" w:color="auto"/>
        <w:right w:val="none" w:sz="0" w:space="0" w:color="auto"/>
      </w:divBdr>
      <w:divsChild>
        <w:div w:id="519316932">
          <w:marLeft w:val="0"/>
          <w:marRight w:val="0"/>
          <w:marTop w:val="0"/>
          <w:marBottom w:val="0"/>
          <w:divBdr>
            <w:top w:val="none" w:sz="0" w:space="0" w:color="auto"/>
            <w:left w:val="none" w:sz="0" w:space="0" w:color="auto"/>
            <w:bottom w:val="none" w:sz="0" w:space="0" w:color="auto"/>
            <w:right w:val="none" w:sz="0" w:space="0" w:color="auto"/>
          </w:divBdr>
          <w:divsChild>
            <w:div w:id="575013335">
              <w:marLeft w:val="0"/>
              <w:marRight w:val="0"/>
              <w:marTop w:val="0"/>
              <w:marBottom w:val="0"/>
              <w:divBdr>
                <w:top w:val="none" w:sz="0" w:space="0" w:color="auto"/>
                <w:left w:val="none" w:sz="0" w:space="0" w:color="auto"/>
                <w:bottom w:val="none" w:sz="0" w:space="0" w:color="auto"/>
                <w:right w:val="none" w:sz="0" w:space="0" w:color="auto"/>
              </w:divBdr>
              <w:divsChild>
                <w:div w:id="1693219819">
                  <w:marLeft w:val="0"/>
                  <w:marRight w:val="0"/>
                  <w:marTop w:val="0"/>
                  <w:marBottom w:val="0"/>
                  <w:divBdr>
                    <w:top w:val="none" w:sz="0" w:space="0" w:color="auto"/>
                    <w:left w:val="none" w:sz="0" w:space="0" w:color="auto"/>
                    <w:bottom w:val="none" w:sz="0" w:space="0" w:color="auto"/>
                    <w:right w:val="none" w:sz="0" w:space="0" w:color="auto"/>
                  </w:divBdr>
                  <w:divsChild>
                    <w:div w:id="1795295769">
                      <w:marLeft w:val="0"/>
                      <w:marRight w:val="0"/>
                      <w:marTop w:val="0"/>
                      <w:marBottom w:val="0"/>
                      <w:divBdr>
                        <w:top w:val="none" w:sz="0" w:space="0" w:color="auto"/>
                        <w:left w:val="none" w:sz="0" w:space="0" w:color="auto"/>
                        <w:bottom w:val="none" w:sz="0" w:space="0" w:color="auto"/>
                        <w:right w:val="none" w:sz="0" w:space="0" w:color="auto"/>
                      </w:divBdr>
                      <w:divsChild>
                        <w:div w:id="813644273">
                          <w:marLeft w:val="0"/>
                          <w:marRight w:val="0"/>
                          <w:marTop w:val="0"/>
                          <w:marBottom w:val="0"/>
                          <w:divBdr>
                            <w:top w:val="none" w:sz="0" w:space="0" w:color="auto"/>
                            <w:left w:val="none" w:sz="0" w:space="0" w:color="auto"/>
                            <w:bottom w:val="none" w:sz="0" w:space="0" w:color="auto"/>
                            <w:right w:val="none" w:sz="0" w:space="0" w:color="auto"/>
                          </w:divBdr>
                          <w:divsChild>
                            <w:div w:id="19293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956866">
      <w:bodyDiv w:val="1"/>
      <w:marLeft w:val="0"/>
      <w:marRight w:val="0"/>
      <w:marTop w:val="0"/>
      <w:marBottom w:val="0"/>
      <w:divBdr>
        <w:top w:val="none" w:sz="0" w:space="0" w:color="auto"/>
        <w:left w:val="none" w:sz="0" w:space="0" w:color="auto"/>
        <w:bottom w:val="none" w:sz="0" w:space="0" w:color="auto"/>
        <w:right w:val="none" w:sz="0" w:space="0" w:color="auto"/>
      </w:divBdr>
      <w:divsChild>
        <w:div w:id="150756527">
          <w:marLeft w:val="0"/>
          <w:marRight w:val="0"/>
          <w:marTop w:val="0"/>
          <w:marBottom w:val="0"/>
          <w:divBdr>
            <w:top w:val="none" w:sz="0" w:space="0" w:color="auto"/>
            <w:left w:val="none" w:sz="0" w:space="0" w:color="auto"/>
            <w:bottom w:val="none" w:sz="0" w:space="0" w:color="auto"/>
            <w:right w:val="none" w:sz="0" w:space="0" w:color="auto"/>
          </w:divBdr>
          <w:divsChild>
            <w:div w:id="410809479">
              <w:marLeft w:val="0"/>
              <w:marRight w:val="0"/>
              <w:marTop w:val="0"/>
              <w:marBottom w:val="0"/>
              <w:divBdr>
                <w:top w:val="none" w:sz="0" w:space="0" w:color="auto"/>
                <w:left w:val="none" w:sz="0" w:space="0" w:color="auto"/>
                <w:bottom w:val="none" w:sz="0" w:space="0" w:color="auto"/>
                <w:right w:val="none" w:sz="0" w:space="0" w:color="auto"/>
              </w:divBdr>
              <w:divsChild>
                <w:div w:id="1034229285">
                  <w:marLeft w:val="0"/>
                  <w:marRight w:val="0"/>
                  <w:marTop w:val="0"/>
                  <w:marBottom w:val="0"/>
                  <w:divBdr>
                    <w:top w:val="none" w:sz="0" w:space="0" w:color="auto"/>
                    <w:left w:val="none" w:sz="0" w:space="0" w:color="auto"/>
                    <w:bottom w:val="none" w:sz="0" w:space="0" w:color="auto"/>
                    <w:right w:val="none" w:sz="0" w:space="0" w:color="auto"/>
                  </w:divBdr>
                  <w:divsChild>
                    <w:div w:id="836655165">
                      <w:marLeft w:val="0"/>
                      <w:marRight w:val="0"/>
                      <w:marTop w:val="0"/>
                      <w:marBottom w:val="0"/>
                      <w:divBdr>
                        <w:top w:val="none" w:sz="0" w:space="0" w:color="auto"/>
                        <w:left w:val="none" w:sz="0" w:space="0" w:color="auto"/>
                        <w:bottom w:val="none" w:sz="0" w:space="0" w:color="auto"/>
                        <w:right w:val="none" w:sz="0" w:space="0" w:color="auto"/>
                      </w:divBdr>
                      <w:divsChild>
                        <w:div w:id="1874423193">
                          <w:marLeft w:val="0"/>
                          <w:marRight w:val="0"/>
                          <w:marTop w:val="0"/>
                          <w:marBottom w:val="0"/>
                          <w:divBdr>
                            <w:top w:val="none" w:sz="0" w:space="0" w:color="auto"/>
                            <w:left w:val="none" w:sz="0" w:space="0" w:color="auto"/>
                            <w:bottom w:val="none" w:sz="0" w:space="0" w:color="auto"/>
                            <w:right w:val="none" w:sz="0" w:space="0" w:color="auto"/>
                          </w:divBdr>
                          <w:divsChild>
                            <w:div w:id="17863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050099">
      <w:bodyDiv w:val="1"/>
      <w:marLeft w:val="0"/>
      <w:marRight w:val="0"/>
      <w:marTop w:val="0"/>
      <w:marBottom w:val="0"/>
      <w:divBdr>
        <w:top w:val="none" w:sz="0" w:space="0" w:color="auto"/>
        <w:left w:val="none" w:sz="0" w:space="0" w:color="auto"/>
        <w:bottom w:val="none" w:sz="0" w:space="0" w:color="auto"/>
        <w:right w:val="none" w:sz="0" w:space="0" w:color="auto"/>
      </w:divBdr>
    </w:div>
    <w:div w:id="1870022451">
      <w:bodyDiv w:val="1"/>
      <w:marLeft w:val="0"/>
      <w:marRight w:val="0"/>
      <w:marTop w:val="0"/>
      <w:marBottom w:val="0"/>
      <w:divBdr>
        <w:top w:val="none" w:sz="0" w:space="0" w:color="auto"/>
        <w:left w:val="none" w:sz="0" w:space="0" w:color="auto"/>
        <w:bottom w:val="none" w:sz="0" w:space="0" w:color="auto"/>
        <w:right w:val="none" w:sz="0" w:space="0" w:color="auto"/>
      </w:divBdr>
    </w:div>
    <w:div w:id="2030990051">
      <w:bodyDiv w:val="1"/>
      <w:marLeft w:val="0"/>
      <w:marRight w:val="0"/>
      <w:marTop w:val="0"/>
      <w:marBottom w:val="0"/>
      <w:divBdr>
        <w:top w:val="none" w:sz="0" w:space="0" w:color="auto"/>
        <w:left w:val="none" w:sz="0" w:space="0" w:color="auto"/>
        <w:bottom w:val="none" w:sz="0" w:space="0" w:color="auto"/>
        <w:right w:val="none" w:sz="0" w:space="0" w:color="auto"/>
      </w:divBdr>
    </w:div>
    <w:div w:id="21030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inverto.d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7C078-0B44-49F7-AAED-1AAB1313E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5670</Characters>
  <Application>Microsoft Office Word</Application>
  <DocSecurity>0</DocSecurity>
  <Lines>47</Lines>
  <Paragraphs>13</Paragraphs>
  <ScaleCrop>false</ScaleCrop>
  <Company>INVERTO</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DE</dc:title>
  <dc:subject/>
  <dc:creator>Ina Ullrich</dc:creator>
  <cp:keywords/>
  <dc:description/>
  <cp:lastModifiedBy>Ina Ullrich</cp:lastModifiedBy>
  <cp:revision>4</cp:revision>
  <cp:lastPrinted>2018-04-11T07:34:00Z</cp:lastPrinted>
  <dcterms:created xsi:type="dcterms:W3CDTF">2026-06-15T10:08:00Z</dcterms:created>
  <dcterms:modified xsi:type="dcterms:W3CDTF">2026-06-15T10:47:00Z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6d61cc2c4f47424c6b57f3f83549f1a12bc5800e0bca36d83f670d258fccebe1</vt:lpwstr>
  </property>
  <property fmtid="{D5CDD505-2E9C-101B-9397-08002B2CF9AE}" pid="3" name="MSIP_Label_b0d5c4f4-7a29-4385-b7a5-afbe2154ae6f_Enabled">
    <vt:lpwstr>true</vt:lpwstr>
  </property>
  <property fmtid="{D5CDD505-2E9C-101B-9397-08002B2CF9AE}" pid="4" name="MSIP_Label_b0d5c4f4-7a29-4385-b7a5-afbe2154ae6f_SetDate">
    <vt:lpwstr>2025-01-23T16:54:08Z</vt:lpwstr>
  </property>
  <property fmtid="{D5CDD505-2E9C-101B-9397-08002B2CF9AE}" pid="5" name="MSIP_Label_b0d5c4f4-7a29-4385-b7a5-afbe2154ae6f_Method">
    <vt:lpwstr>Standard</vt:lpwstr>
  </property>
  <property fmtid="{D5CDD505-2E9C-101B-9397-08002B2CF9AE}" pid="6" name="MSIP_Label_b0d5c4f4-7a29-4385-b7a5-afbe2154ae6f_Name">
    <vt:lpwstr>Confidential</vt:lpwstr>
  </property>
  <property fmtid="{D5CDD505-2E9C-101B-9397-08002B2CF9AE}" pid="7" name="MSIP_Label_b0d5c4f4-7a29-4385-b7a5-afbe2154ae6f_SiteId">
    <vt:lpwstr>2dfb2f0b-4d21-4268-9559-72926144c918</vt:lpwstr>
  </property>
  <property fmtid="{D5CDD505-2E9C-101B-9397-08002B2CF9AE}" pid="8" name="MSIP_Label_b0d5c4f4-7a29-4385-b7a5-afbe2154ae6f_ActionId">
    <vt:lpwstr>7e2de352-7765-413c-953c-72d1d7b68126</vt:lpwstr>
  </property>
  <property fmtid="{D5CDD505-2E9C-101B-9397-08002B2CF9AE}" pid="9" name="MSIP_Label_b0d5c4f4-7a29-4385-b7a5-afbe2154ae6f_ContentBits">
    <vt:lpwstr>0</vt:lpwstr>
  </property>
</Properties>
</file>