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71E8" w14:textId="5A436652" w:rsidR="00E409DD" w:rsidRDefault="00C70F40" w:rsidP="004F27E8">
      <w:pPr>
        <w:spacing w:line="276" w:lineRule="auto"/>
        <w:ind w:right="-567"/>
        <w:rPr>
          <w:rFonts w:ascii="Sora" w:hAnsi="Sora" w:cs="Sora"/>
          <w:b/>
          <w:bCs/>
          <w:sz w:val="36"/>
          <w:szCs w:val="36"/>
        </w:rPr>
      </w:pPr>
      <w:bookmarkStart w:id="0" w:name="_Hlk534903597"/>
      <w:r>
        <w:rPr>
          <w:rFonts w:ascii="Sora" w:hAnsi="Sora" w:cs="Sora"/>
          <w:b/>
          <w:bCs/>
          <w:sz w:val="36"/>
          <w:szCs w:val="36"/>
        </w:rPr>
        <w:t xml:space="preserve">Unternehmen </w:t>
      </w:r>
      <w:r w:rsidR="00275C96">
        <w:rPr>
          <w:rFonts w:ascii="Sora" w:hAnsi="Sora" w:cs="Sora"/>
          <w:b/>
          <w:bCs/>
          <w:sz w:val="36"/>
          <w:szCs w:val="36"/>
        </w:rPr>
        <w:t>investieren</w:t>
      </w:r>
      <w:r>
        <w:rPr>
          <w:rFonts w:ascii="Sora" w:hAnsi="Sora" w:cs="Sora"/>
          <w:b/>
          <w:bCs/>
          <w:sz w:val="36"/>
          <w:szCs w:val="36"/>
        </w:rPr>
        <w:t xml:space="preserve"> angesichts </w:t>
      </w:r>
      <w:r w:rsidR="00BC08C1">
        <w:rPr>
          <w:rFonts w:ascii="Sora" w:hAnsi="Sora" w:cs="Sora"/>
          <w:b/>
          <w:bCs/>
          <w:sz w:val="36"/>
          <w:szCs w:val="36"/>
        </w:rPr>
        <w:t>zunehmender</w:t>
      </w:r>
      <w:r>
        <w:rPr>
          <w:rFonts w:ascii="Sora" w:hAnsi="Sora" w:cs="Sora"/>
          <w:b/>
          <w:bCs/>
          <w:sz w:val="36"/>
          <w:szCs w:val="36"/>
        </w:rPr>
        <w:t xml:space="preserve"> </w:t>
      </w:r>
      <w:r w:rsidR="00275C96">
        <w:rPr>
          <w:rFonts w:ascii="Sora" w:hAnsi="Sora" w:cs="Sora"/>
          <w:b/>
          <w:bCs/>
          <w:sz w:val="36"/>
          <w:szCs w:val="36"/>
        </w:rPr>
        <w:t>Krisen in digitales Risikomanagement</w:t>
      </w:r>
    </w:p>
    <w:bookmarkEnd w:id="0"/>
    <w:p w14:paraId="486A809A" w14:textId="144181D2" w:rsidR="00E409DD" w:rsidRPr="00BB021A" w:rsidRDefault="00C70F40" w:rsidP="004F27E8">
      <w:pPr>
        <w:spacing w:line="276" w:lineRule="auto"/>
        <w:ind w:right="-567"/>
        <w:rPr>
          <w:rFonts w:ascii="Sora" w:hAnsi="Sora" w:cs="Sora"/>
          <w:sz w:val="28"/>
          <w:szCs w:val="28"/>
        </w:rPr>
      </w:pPr>
      <w:r>
        <w:rPr>
          <w:rFonts w:ascii="Sora" w:hAnsi="Sora" w:cs="Sora"/>
          <w:sz w:val="28"/>
          <w:szCs w:val="28"/>
        </w:rPr>
        <w:t xml:space="preserve">Neue Inverto-Studie zeigt </w:t>
      </w:r>
      <w:r w:rsidR="00BC08C1">
        <w:rPr>
          <w:rFonts w:ascii="Sora" w:hAnsi="Sora" w:cs="Sora"/>
          <w:sz w:val="28"/>
          <w:szCs w:val="28"/>
        </w:rPr>
        <w:t>steigende</w:t>
      </w:r>
      <w:r>
        <w:rPr>
          <w:rFonts w:ascii="Sora" w:hAnsi="Sora" w:cs="Sora"/>
          <w:sz w:val="28"/>
          <w:szCs w:val="28"/>
        </w:rPr>
        <w:t xml:space="preserve"> </w:t>
      </w:r>
      <w:r w:rsidR="00275C96">
        <w:rPr>
          <w:rFonts w:ascii="Sora" w:hAnsi="Sora" w:cs="Sora"/>
          <w:sz w:val="28"/>
          <w:szCs w:val="28"/>
        </w:rPr>
        <w:t>Komplexität</w:t>
      </w:r>
      <w:r>
        <w:rPr>
          <w:rFonts w:ascii="Sora" w:hAnsi="Sora" w:cs="Sora"/>
          <w:sz w:val="28"/>
          <w:szCs w:val="28"/>
        </w:rPr>
        <w:t>: Lieferengpässe auf Rekordhoch, Kosten volatil</w:t>
      </w:r>
    </w:p>
    <w:p w14:paraId="6FBB7F4F" w14:textId="77777777" w:rsidR="00BB021A" w:rsidRDefault="00BB021A" w:rsidP="004F27E8">
      <w:pPr>
        <w:spacing w:line="276" w:lineRule="auto"/>
        <w:ind w:right="-567"/>
        <w:rPr>
          <w:rFonts w:ascii="Sora" w:hAnsi="Sora" w:cs="Sora"/>
          <w:i/>
          <w:iCs/>
          <w:szCs w:val="22"/>
        </w:rPr>
      </w:pPr>
    </w:p>
    <w:p w14:paraId="0D10FBFE" w14:textId="7180ABF1" w:rsidR="00BB021A" w:rsidRPr="00C70F40" w:rsidRDefault="00C70F40" w:rsidP="00C70F40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b/>
          <w:bCs/>
          <w:szCs w:val="22"/>
        </w:rPr>
        <w:t>83 % der befragten Unternehmen kämpfen mit anhaltenden Lieferengpässen</w:t>
      </w:r>
      <w:r w:rsidR="00275C96">
        <w:rPr>
          <w:rFonts w:ascii="Sora" w:hAnsi="Sora" w:cs="Sora"/>
          <w:b/>
          <w:bCs/>
          <w:szCs w:val="22"/>
        </w:rPr>
        <w:t xml:space="preserve">, </w:t>
      </w:r>
      <w:r w:rsidR="00BC08C1">
        <w:rPr>
          <w:rFonts w:ascii="Sora" w:hAnsi="Sora" w:cs="Sora"/>
          <w:b/>
          <w:bCs/>
          <w:szCs w:val="22"/>
        </w:rPr>
        <w:t xml:space="preserve">maßgeblich verursacht durch </w:t>
      </w:r>
      <w:r>
        <w:rPr>
          <w:rFonts w:ascii="Sora" w:hAnsi="Sora" w:cs="Sora"/>
          <w:b/>
          <w:bCs/>
          <w:szCs w:val="22"/>
        </w:rPr>
        <w:t xml:space="preserve">Lieferantenausfälle, Logistikprobleme </w:t>
      </w:r>
      <w:r w:rsidR="00BC08C1">
        <w:rPr>
          <w:rFonts w:ascii="Sora" w:hAnsi="Sora" w:cs="Sora"/>
          <w:b/>
          <w:bCs/>
          <w:szCs w:val="22"/>
        </w:rPr>
        <w:t>oder</w:t>
      </w:r>
      <w:r>
        <w:rPr>
          <w:rFonts w:ascii="Sora" w:hAnsi="Sora" w:cs="Sora"/>
          <w:b/>
          <w:bCs/>
          <w:szCs w:val="22"/>
        </w:rPr>
        <w:t xml:space="preserve"> geopolitische Konflikte</w:t>
      </w:r>
    </w:p>
    <w:p w14:paraId="47429ACB" w14:textId="5E046095" w:rsidR="00C70F40" w:rsidRPr="00C70F40" w:rsidRDefault="00C70F40" w:rsidP="00C70F40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b/>
          <w:bCs/>
          <w:szCs w:val="22"/>
        </w:rPr>
        <w:t xml:space="preserve">Risiken </w:t>
      </w:r>
      <w:r w:rsidR="00BC08C1">
        <w:rPr>
          <w:rFonts w:ascii="Sora" w:hAnsi="Sora" w:cs="Sora"/>
          <w:b/>
          <w:bCs/>
          <w:szCs w:val="22"/>
        </w:rPr>
        <w:t xml:space="preserve">sind </w:t>
      </w:r>
      <w:r>
        <w:rPr>
          <w:rFonts w:ascii="Sora" w:hAnsi="Sora" w:cs="Sora"/>
          <w:b/>
          <w:bCs/>
          <w:szCs w:val="22"/>
        </w:rPr>
        <w:t>fragmentie</w:t>
      </w:r>
      <w:r w:rsidR="00275C96">
        <w:rPr>
          <w:rFonts w:ascii="Sora" w:hAnsi="Sora" w:cs="Sora"/>
          <w:b/>
          <w:bCs/>
          <w:szCs w:val="22"/>
        </w:rPr>
        <w:t>rter denn je</w:t>
      </w:r>
      <w:r>
        <w:rPr>
          <w:rFonts w:ascii="Sora" w:hAnsi="Sora" w:cs="Sora"/>
          <w:b/>
          <w:bCs/>
          <w:szCs w:val="22"/>
        </w:rPr>
        <w:t>: Unter 18 potenziellen Risiken gibt es keinen klaren Spitzenreiter mehr</w:t>
      </w:r>
      <w:r w:rsidR="00275C96">
        <w:rPr>
          <w:rFonts w:ascii="Sora" w:hAnsi="Sora" w:cs="Sora"/>
          <w:b/>
          <w:bCs/>
          <w:szCs w:val="22"/>
        </w:rPr>
        <w:t>;</w:t>
      </w:r>
      <w:r>
        <w:rPr>
          <w:rFonts w:ascii="Sora" w:hAnsi="Sora" w:cs="Sora"/>
          <w:b/>
          <w:bCs/>
          <w:szCs w:val="22"/>
        </w:rPr>
        <w:t xml:space="preserve"> jedes Risiko wird nur von 14 % bis 21 % der Befragten genannt</w:t>
      </w:r>
    </w:p>
    <w:p w14:paraId="47429ACE" w14:textId="27E8167F" w:rsidR="00C70F40" w:rsidRPr="00C70F40" w:rsidRDefault="00C70F40" w:rsidP="00C70F40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b/>
          <w:bCs/>
          <w:szCs w:val="22"/>
        </w:rPr>
        <w:t xml:space="preserve">89 % der Unternehmen nutzen digitale Tools im Risikomanagement, 67 % in großem Umfang – </w:t>
      </w:r>
      <w:r w:rsidR="00BC08C1">
        <w:rPr>
          <w:rFonts w:ascii="Sora" w:hAnsi="Sora" w:cs="Sora"/>
          <w:b/>
          <w:bCs/>
          <w:szCs w:val="22"/>
        </w:rPr>
        <w:t>jedoch zumeist nur reaktiv</w:t>
      </w:r>
    </w:p>
    <w:p w14:paraId="164E4B7D" w14:textId="77777777" w:rsidR="00C70F40" w:rsidRPr="00C70F40" w:rsidRDefault="00C70F40" w:rsidP="00C70F40">
      <w:pPr>
        <w:spacing w:line="276" w:lineRule="auto"/>
        <w:ind w:right="-567"/>
        <w:rPr>
          <w:rFonts w:ascii="Sora" w:hAnsi="Sora" w:cs="Sora"/>
          <w:szCs w:val="22"/>
        </w:rPr>
      </w:pPr>
    </w:p>
    <w:p w14:paraId="5F9FFFA3" w14:textId="28B10E68" w:rsidR="00BB021A" w:rsidRDefault="00C70F40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i/>
          <w:iCs/>
          <w:szCs w:val="22"/>
        </w:rPr>
        <w:t>Köln, xx. Juni 2026.</w:t>
      </w:r>
      <w:r>
        <w:rPr>
          <w:rFonts w:ascii="Sora" w:hAnsi="Sora" w:cs="Sora"/>
          <w:szCs w:val="22"/>
        </w:rPr>
        <w:t xml:space="preserve"> Europäische Unternehmen agieren zunehmend in einem </w:t>
      </w:r>
      <w:r w:rsidR="00BC08C1">
        <w:rPr>
          <w:rFonts w:ascii="Sora" w:hAnsi="Sora" w:cs="Sora"/>
          <w:szCs w:val="22"/>
        </w:rPr>
        <w:t>dauerhaften Krisenszenario</w:t>
      </w:r>
      <w:r>
        <w:rPr>
          <w:rFonts w:ascii="Sora" w:hAnsi="Sora" w:cs="Sora"/>
          <w:szCs w:val="22"/>
        </w:rPr>
        <w:t xml:space="preserve">: Geopolitische Spannungen, Lieferkettenengpässe und anhaltender Kostendruck überlagern sich und schaffen ein komplexeres Risikoumfeld als je zuvor. Das zeigt die aktuelle </w:t>
      </w:r>
      <w:r>
        <w:rPr>
          <w:rFonts w:ascii="Sora" w:hAnsi="Sora" w:cs="Sora"/>
          <w:b/>
          <w:bCs/>
          <w:szCs w:val="22"/>
        </w:rPr>
        <w:t xml:space="preserve">Risk &amp; </w:t>
      </w:r>
      <w:proofErr w:type="spellStart"/>
      <w:r>
        <w:rPr>
          <w:rFonts w:ascii="Sora" w:hAnsi="Sora" w:cs="Sora"/>
          <w:b/>
          <w:bCs/>
          <w:szCs w:val="22"/>
        </w:rPr>
        <w:t>Resilience</w:t>
      </w:r>
      <w:proofErr w:type="spellEnd"/>
      <w:r>
        <w:rPr>
          <w:rFonts w:ascii="Sora" w:hAnsi="Sora" w:cs="Sora"/>
          <w:b/>
          <w:bCs/>
          <w:szCs w:val="22"/>
        </w:rPr>
        <w:t xml:space="preserve"> Study 2026</w:t>
      </w:r>
      <w:r>
        <w:rPr>
          <w:rFonts w:ascii="Sora" w:hAnsi="Sora" w:cs="Sora"/>
          <w:szCs w:val="22"/>
        </w:rPr>
        <w:t xml:space="preserve"> von Inverto, </w:t>
      </w:r>
      <w:r w:rsidR="00275C96">
        <w:rPr>
          <w:rFonts w:ascii="Sora" w:hAnsi="Sora" w:cs="Sora"/>
          <w:szCs w:val="22"/>
        </w:rPr>
        <w:t>der auf Einkauf und Lieferkettenmanagement spezialisierten Tochter der Boston Consulting Group (BCG)</w:t>
      </w:r>
      <w:r w:rsidR="00BC08C1">
        <w:rPr>
          <w:rFonts w:ascii="Sora" w:hAnsi="Sora" w:cs="Sora"/>
          <w:szCs w:val="22"/>
        </w:rPr>
        <w:t>. Die Analyse</w:t>
      </w:r>
      <w:r w:rsidR="00275C96">
        <w:rPr>
          <w:rFonts w:ascii="Sora" w:hAnsi="Sora" w:cs="Sora"/>
          <w:szCs w:val="22"/>
        </w:rPr>
        <w:t xml:space="preserve"> </w:t>
      </w:r>
      <w:r>
        <w:rPr>
          <w:rFonts w:ascii="Sora" w:hAnsi="Sora" w:cs="Sora"/>
          <w:szCs w:val="22"/>
        </w:rPr>
        <w:t>basier</w:t>
      </w:r>
      <w:r w:rsidR="00BC08C1">
        <w:rPr>
          <w:rFonts w:ascii="Sora" w:hAnsi="Sora" w:cs="Sora"/>
          <w:szCs w:val="22"/>
        </w:rPr>
        <w:t>t</w:t>
      </w:r>
      <w:r>
        <w:rPr>
          <w:rFonts w:ascii="Sora" w:hAnsi="Sora" w:cs="Sora"/>
          <w:szCs w:val="22"/>
        </w:rPr>
        <w:t xml:space="preserve"> auf einer Befragung von mehr als 400 Führungskräften aus ganz Europa. </w:t>
      </w:r>
      <w:r w:rsidR="00BC08C1">
        <w:rPr>
          <w:rFonts w:ascii="Sora" w:hAnsi="Sora" w:cs="Sora"/>
          <w:szCs w:val="22"/>
        </w:rPr>
        <w:t>S</w:t>
      </w:r>
      <w:r>
        <w:rPr>
          <w:rFonts w:ascii="Sora" w:hAnsi="Sora" w:cs="Sora"/>
          <w:szCs w:val="22"/>
        </w:rPr>
        <w:t xml:space="preserve">ie bestätigt: </w:t>
      </w:r>
      <w:r w:rsidR="00BC08C1">
        <w:rPr>
          <w:rFonts w:ascii="Sora" w:hAnsi="Sora" w:cs="Sora"/>
          <w:szCs w:val="22"/>
        </w:rPr>
        <w:t>U</w:t>
      </w:r>
      <w:r>
        <w:rPr>
          <w:rFonts w:ascii="Sora" w:hAnsi="Sora" w:cs="Sora"/>
          <w:szCs w:val="22"/>
        </w:rPr>
        <w:t>nternehmen</w:t>
      </w:r>
      <w:r w:rsidR="00BC08C1">
        <w:rPr>
          <w:rFonts w:ascii="Sora" w:hAnsi="Sora" w:cs="Sora"/>
          <w:szCs w:val="22"/>
        </w:rPr>
        <w:t xml:space="preserve"> sehen sich nicht mehr</w:t>
      </w:r>
      <w:r>
        <w:rPr>
          <w:rFonts w:ascii="Sora" w:hAnsi="Sora" w:cs="Sora"/>
          <w:szCs w:val="22"/>
        </w:rPr>
        <w:t xml:space="preserve"> </w:t>
      </w:r>
      <w:r w:rsidR="00BC08C1">
        <w:rPr>
          <w:rFonts w:ascii="Sora" w:hAnsi="Sora" w:cs="Sora"/>
          <w:szCs w:val="22"/>
        </w:rPr>
        <w:t>e</w:t>
      </w:r>
      <w:r>
        <w:rPr>
          <w:rFonts w:ascii="Sora" w:hAnsi="Sora" w:cs="Sora"/>
          <w:szCs w:val="22"/>
        </w:rPr>
        <w:t xml:space="preserve">inzelnen </w:t>
      </w:r>
      <w:r w:rsidR="00BC08C1">
        <w:rPr>
          <w:rFonts w:ascii="Sora" w:hAnsi="Sora" w:cs="Sora"/>
          <w:szCs w:val="22"/>
        </w:rPr>
        <w:t xml:space="preserve">dominierenden </w:t>
      </w:r>
      <w:r>
        <w:rPr>
          <w:rFonts w:ascii="Sora" w:hAnsi="Sora" w:cs="Sora"/>
          <w:szCs w:val="22"/>
        </w:rPr>
        <w:t>Krisen</w:t>
      </w:r>
      <w:r w:rsidR="00BC08C1">
        <w:rPr>
          <w:rFonts w:ascii="Sora" w:hAnsi="Sora" w:cs="Sora"/>
          <w:szCs w:val="22"/>
        </w:rPr>
        <w:t>faktoren</w:t>
      </w:r>
      <w:r>
        <w:rPr>
          <w:rFonts w:ascii="Sora" w:hAnsi="Sora" w:cs="Sora"/>
          <w:szCs w:val="22"/>
        </w:rPr>
        <w:t xml:space="preserve"> </w:t>
      </w:r>
      <w:r w:rsidR="00BC08C1">
        <w:rPr>
          <w:rFonts w:ascii="Sora" w:hAnsi="Sora" w:cs="Sora"/>
          <w:szCs w:val="22"/>
        </w:rPr>
        <w:t>ausgesetzt</w:t>
      </w:r>
      <w:r>
        <w:rPr>
          <w:rFonts w:ascii="Sora" w:hAnsi="Sora" w:cs="Sora"/>
          <w:szCs w:val="22"/>
        </w:rPr>
        <w:t xml:space="preserve">. Stattdessen verdichten sich </w:t>
      </w:r>
      <w:r w:rsidR="00BC08C1">
        <w:rPr>
          <w:rFonts w:ascii="Sora" w:hAnsi="Sora" w:cs="Sora"/>
          <w:szCs w:val="22"/>
        </w:rPr>
        <w:t xml:space="preserve">die Risiken </w:t>
      </w:r>
      <w:r>
        <w:rPr>
          <w:rFonts w:ascii="Sora" w:hAnsi="Sora" w:cs="Sora"/>
          <w:szCs w:val="22"/>
        </w:rPr>
        <w:t xml:space="preserve">zu einem vielschichtigen, schwer kalkulierbaren </w:t>
      </w:r>
      <w:r w:rsidR="00BC08C1">
        <w:rPr>
          <w:rFonts w:ascii="Sora" w:hAnsi="Sora" w:cs="Sora"/>
          <w:szCs w:val="22"/>
        </w:rPr>
        <w:t>G</w:t>
      </w:r>
      <w:r>
        <w:rPr>
          <w:rFonts w:ascii="Sora" w:hAnsi="Sora" w:cs="Sora"/>
          <w:szCs w:val="22"/>
        </w:rPr>
        <w:t>eflecht.</w:t>
      </w:r>
    </w:p>
    <w:p w14:paraId="0B5D3FCF" w14:textId="77777777" w:rsidR="00BB021A" w:rsidRPr="00BB021A" w:rsidRDefault="00BB021A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14879BED" w14:textId="79E073E4" w:rsidR="00C9596C" w:rsidRDefault="00C70F40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 xml:space="preserve">„Das prägende Merkmal </w:t>
      </w:r>
      <w:r w:rsidR="00275C96">
        <w:rPr>
          <w:rFonts w:ascii="Sora" w:hAnsi="Sora" w:cs="Sora"/>
          <w:szCs w:val="22"/>
        </w:rPr>
        <w:t>heute</w:t>
      </w:r>
      <w:r>
        <w:rPr>
          <w:rFonts w:ascii="Sora" w:hAnsi="Sora" w:cs="Sora"/>
          <w:szCs w:val="22"/>
        </w:rPr>
        <w:t xml:space="preserve"> ist nicht die Schwere eines einzelnen Schocks, sondern die Tatsache, dass mehrere Risiken gleichzeitig auftreten“, sagt </w:t>
      </w:r>
      <w:r w:rsidR="00275C96">
        <w:rPr>
          <w:rFonts w:ascii="Sora" w:hAnsi="Sora" w:cs="Sora"/>
          <w:szCs w:val="22"/>
        </w:rPr>
        <w:t>Patrick Lepperhoff</w:t>
      </w:r>
      <w:r w:rsidRPr="00275C96">
        <w:rPr>
          <w:rFonts w:ascii="Sora" w:hAnsi="Sora" w:cs="Sora"/>
          <w:szCs w:val="22"/>
        </w:rPr>
        <w:t>, Managing Director bei Inverto</w:t>
      </w:r>
      <w:r w:rsidR="00275C96">
        <w:rPr>
          <w:rFonts w:ascii="Sora" w:hAnsi="Sora" w:cs="Sora"/>
          <w:szCs w:val="22"/>
        </w:rPr>
        <w:t xml:space="preserve"> und Experte für Lieferkettenmanagement</w:t>
      </w:r>
      <w:r w:rsidRPr="00275C96">
        <w:rPr>
          <w:rFonts w:ascii="Sora" w:hAnsi="Sora" w:cs="Sora"/>
          <w:szCs w:val="22"/>
        </w:rPr>
        <w:t>.</w:t>
      </w:r>
      <w:r>
        <w:rPr>
          <w:rFonts w:ascii="Sora" w:hAnsi="Sora" w:cs="Sora"/>
          <w:szCs w:val="22"/>
        </w:rPr>
        <w:t xml:space="preserve"> „Unternehmen müssen ihre Lieferketten- und Risikostrategien kontinuierlich neu gestalten, um </w:t>
      </w:r>
      <w:r w:rsidR="00BC08C1">
        <w:rPr>
          <w:rFonts w:ascii="Sora" w:hAnsi="Sora" w:cs="Sora"/>
          <w:szCs w:val="22"/>
        </w:rPr>
        <w:t xml:space="preserve">resilient und </w:t>
      </w:r>
      <w:r>
        <w:rPr>
          <w:rFonts w:ascii="Sora" w:hAnsi="Sora" w:cs="Sora"/>
          <w:szCs w:val="22"/>
        </w:rPr>
        <w:t xml:space="preserve">wettbewerbsfähig zu bleiben. </w:t>
      </w:r>
      <w:r w:rsidR="00BC08C1">
        <w:rPr>
          <w:rFonts w:ascii="Sora" w:hAnsi="Sora" w:cs="Sora"/>
          <w:szCs w:val="22"/>
        </w:rPr>
        <w:t xml:space="preserve">Das gelingt nur </w:t>
      </w:r>
      <w:r w:rsidR="00275C96">
        <w:rPr>
          <w:rFonts w:ascii="Sora" w:hAnsi="Sora" w:cs="Sora"/>
          <w:szCs w:val="22"/>
        </w:rPr>
        <w:t xml:space="preserve">durch </w:t>
      </w:r>
      <w:r>
        <w:rPr>
          <w:rFonts w:ascii="Sora" w:hAnsi="Sora" w:cs="Sora"/>
          <w:szCs w:val="22"/>
        </w:rPr>
        <w:t>proaktiv</w:t>
      </w:r>
      <w:r w:rsidR="00275C96">
        <w:rPr>
          <w:rFonts w:ascii="Sora" w:hAnsi="Sora" w:cs="Sora"/>
          <w:szCs w:val="22"/>
        </w:rPr>
        <w:t>es</w:t>
      </w:r>
      <w:r>
        <w:rPr>
          <w:rFonts w:ascii="Sora" w:hAnsi="Sora" w:cs="Sora"/>
          <w:szCs w:val="22"/>
        </w:rPr>
        <w:t xml:space="preserve"> </w:t>
      </w:r>
      <w:r w:rsidR="00275C96">
        <w:rPr>
          <w:rFonts w:ascii="Sora" w:hAnsi="Sora" w:cs="Sora"/>
          <w:szCs w:val="22"/>
        </w:rPr>
        <w:t>Risikomanagement</w:t>
      </w:r>
      <w:r>
        <w:rPr>
          <w:rFonts w:ascii="Sora" w:hAnsi="Sora" w:cs="Sora"/>
          <w:szCs w:val="22"/>
        </w:rPr>
        <w:t>.“</w:t>
      </w:r>
    </w:p>
    <w:p w14:paraId="6E36B651" w14:textId="77777777" w:rsidR="00275C96" w:rsidRDefault="00275C96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3C262C9D" w14:textId="2D33F733" w:rsidR="00BB021A" w:rsidRPr="00BB021A" w:rsidRDefault="00BB021A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b/>
          <w:bCs/>
          <w:szCs w:val="22"/>
        </w:rPr>
        <w:t xml:space="preserve">Risiken fragmentieren sich – </w:t>
      </w:r>
      <w:r w:rsidR="00275C96">
        <w:rPr>
          <w:rFonts w:ascii="Sora" w:hAnsi="Sora" w:cs="Sora"/>
          <w:b/>
          <w:bCs/>
          <w:szCs w:val="22"/>
        </w:rPr>
        <w:t xml:space="preserve">es gibt </w:t>
      </w:r>
      <w:r>
        <w:rPr>
          <w:rFonts w:ascii="Sora" w:hAnsi="Sora" w:cs="Sora"/>
          <w:b/>
          <w:bCs/>
          <w:szCs w:val="22"/>
        </w:rPr>
        <w:t>kein</w:t>
      </w:r>
      <w:r w:rsidR="00275C96">
        <w:rPr>
          <w:rFonts w:ascii="Sora" w:hAnsi="Sora" w:cs="Sora"/>
          <w:b/>
          <w:bCs/>
          <w:szCs w:val="22"/>
        </w:rPr>
        <w:t>e</w:t>
      </w:r>
      <w:r>
        <w:rPr>
          <w:rFonts w:ascii="Sora" w:hAnsi="Sora" w:cs="Sora"/>
          <w:b/>
          <w:bCs/>
          <w:szCs w:val="22"/>
        </w:rPr>
        <w:t xml:space="preserve"> </w:t>
      </w:r>
      <w:r w:rsidR="00275C96">
        <w:rPr>
          <w:rFonts w:ascii="Sora" w:hAnsi="Sora" w:cs="Sora"/>
          <w:b/>
          <w:bCs/>
          <w:szCs w:val="22"/>
        </w:rPr>
        <w:t>e</w:t>
      </w:r>
      <w:r>
        <w:rPr>
          <w:rFonts w:ascii="Sora" w:hAnsi="Sora" w:cs="Sora"/>
          <w:b/>
          <w:bCs/>
          <w:szCs w:val="22"/>
        </w:rPr>
        <w:t>inzel</w:t>
      </w:r>
      <w:r w:rsidR="00275C96">
        <w:rPr>
          <w:rFonts w:ascii="Sora" w:hAnsi="Sora" w:cs="Sora"/>
          <w:b/>
          <w:bCs/>
          <w:szCs w:val="22"/>
        </w:rPr>
        <w:t>nen K</w:t>
      </w:r>
      <w:r>
        <w:rPr>
          <w:rFonts w:ascii="Sora" w:hAnsi="Sora" w:cs="Sora"/>
          <w:b/>
          <w:bCs/>
          <w:szCs w:val="22"/>
        </w:rPr>
        <w:t>rise</w:t>
      </w:r>
      <w:r w:rsidR="00275C96">
        <w:rPr>
          <w:rFonts w:ascii="Sora" w:hAnsi="Sora" w:cs="Sora"/>
          <w:b/>
          <w:bCs/>
          <w:szCs w:val="22"/>
        </w:rPr>
        <w:t>n</w:t>
      </w:r>
      <w:r>
        <w:rPr>
          <w:rFonts w:ascii="Sora" w:hAnsi="Sora" w:cs="Sora"/>
          <w:b/>
          <w:bCs/>
          <w:szCs w:val="22"/>
        </w:rPr>
        <w:t xml:space="preserve"> mehr</w:t>
      </w:r>
    </w:p>
    <w:p w14:paraId="3C262C9E" w14:textId="5C481C26" w:rsidR="00BB021A" w:rsidRDefault="00BB021A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 xml:space="preserve">Eines der deutlichsten Signale der Studie ist die Fragmentierung der Risikolandschaft: Unter 18 potenziellen Risiken gibt es keinen klaren Spitzenreiter mehr – jedes Risiko wird nur von 14 % bis 21 % der Befragten </w:t>
      </w:r>
      <w:r>
        <w:rPr>
          <w:rFonts w:ascii="Sora" w:hAnsi="Sora" w:cs="Sora"/>
          <w:szCs w:val="22"/>
        </w:rPr>
        <w:lastRenderedPageBreak/>
        <w:t xml:space="preserve">genannt. Unternehmen </w:t>
      </w:r>
      <w:r w:rsidR="00BC08C1">
        <w:rPr>
          <w:rFonts w:ascii="Sora" w:hAnsi="Sora" w:cs="Sora"/>
          <w:szCs w:val="22"/>
        </w:rPr>
        <w:t>nehmen</w:t>
      </w:r>
      <w:r>
        <w:rPr>
          <w:rFonts w:ascii="Sora" w:hAnsi="Sora" w:cs="Sora"/>
          <w:szCs w:val="22"/>
        </w:rPr>
        <w:t xml:space="preserve"> ein breite</w:t>
      </w:r>
      <w:r w:rsidR="00BC08C1">
        <w:rPr>
          <w:rFonts w:ascii="Sora" w:hAnsi="Sora" w:cs="Sora"/>
          <w:szCs w:val="22"/>
        </w:rPr>
        <w:t>s</w:t>
      </w:r>
      <w:r>
        <w:rPr>
          <w:rFonts w:ascii="Sora" w:hAnsi="Sora" w:cs="Sora"/>
          <w:szCs w:val="22"/>
        </w:rPr>
        <w:t xml:space="preserve"> Spektrum gleichrangiger Bedrohungen </w:t>
      </w:r>
      <w:r w:rsidR="00BC08C1">
        <w:rPr>
          <w:rFonts w:ascii="Sora" w:hAnsi="Sora" w:cs="Sora"/>
          <w:szCs w:val="22"/>
        </w:rPr>
        <w:t>wahr, zum Beispiel</w:t>
      </w:r>
      <w:r>
        <w:rPr>
          <w:rFonts w:ascii="Sora" w:hAnsi="Sora" w:cs="Sora"/>
          <w:szCs w:val="22"/>
        </w:rPr>
        <w:t xml:space="preserve"> Lieferantenausfälle, geopolitische Spannungen, Handelszölle, Cybersicherheit </w:t>
      </w:r>
      <w:r w:rsidR="00BC08C1">
        <w:rPr>
          <w:rFonts w:ascii="Sora" w:hAnsi="Sora" w:cs="Sora"/>
          <w:szCs w:val="22"/>
        </w:rPr>
        <w:t xml:space="preserve">oder </w:t>
      </w:r>
      <w:r>
        <w:rPr>
          <w:rFonts w:ascii="Sora" w:hAnsi="Sora" w:cs="Sora"/>
          <w:szCs w:val="22"/>
        </w:rPr>
        <w:t>Preisvolatilität. Das bedeutet: Risik</w:t>
      </w:r>
      <w:r w:rsidR="005747E3">
        <w:rPr>
          <w:rFonts w:ascii="Sora" w:hAnsi="Sora" w:cs="Sora"/>
          <w:szCs w:val="22"/>
        </w:rPr>
        <w:t xml:space="preserve">en können nicht mehr einzeln betrachtet werden, </w:t>
      </w:r>
      <w:r>
        <w:rPr>
          <w:rFonts w:ascii="Sora" w:hAnsi="Sora" w:cs="Sora"/>
          <w:szCs w:val="22"/>
        </w:rPr>
        <w:t xml:space="preserve">Unternehmen müssen </w:t>
      </w:r>
      <w:r w:rsidR="005747E3">
        <w:rPr>
          <w:rFonts w:ascii="Sora" w:hAnsi="Sora" w:cs="Sora"/>
          <w:szCs w:val="22"/>
        </w:rPr>
        <w:t xml:space="preserve">vielmehr </w:t>
      </w:r>
      <w:r>
        <w:rPr>
          <w:rFonts w:ascii="Sora" w:hAnsi="Sora" w:cs="Sora"/>
          <w:szCs w:val="22"/>
        </w:rPr>
        <w:t>ein System aus Wechselwirkungen steuern.</w:t>
      </w:r>
    </w:p>
    <w:p w14:paraId="1D242275" w14:textId="77777777" w:rsidR="00275C96" w:rsidRDefault="00275C96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</w:p>
    <w:p w14:paraId="3C262C9F" w14:textId="3D9F2390" w:rsidR="00BB021A" w:rsidRDefault="00BB021A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>
        <w:rPr>
          <w:rFonts w:ascii="Sora" w:hAnsi="Sora" w:cs="Sora"/>
          <w:b/>
          <w:bCs/>
          <w:szCs w:val="22"/>
        </w:rPr>
        <w:t>83 % der Unternehmen kämpfen mit Lieferengpässen</w:t>
      </w:r>
    </w:p>
    <w:p w14:paraId="3C262CA0" w14:textId="586DAF42" w:rsidR="00BB021A" w:rsidRDefault="00BB021A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83 % der befragten Unternehmen berichten von anhaltenden Versorgungsengpässen – ein deutlicher Anstieg im Vergleich zu Vorjahren. Als Ursachen werden unter anderem Kapazitätsengpässe bei Lieferanten, Logistikprobleme, Insolvenzen sowie anhaltende geopolitische Konflikte genannt. Ein besondere</w:t>
      </w:r>
      <w:r w:rsidR="005747E3">
        <w:rPr>
          <w:rFonts w:ascii="Sora" w:hAnsi="Sora" w:cs="Sora"/>
          <w:szCs w:val="22"/>
        </w:rPr>
        <w:t>r</w:t>
      </w:r>
      <w:r>
        <w:rPr>
          <w:rFonts w:ascii="Sora" w:hAnsi="Sora" w:cs="Sora"/>
          <w:szCs w:val="22"/>
        </w:rPr>
        <w:t xml:space="preserve"> Schwachpunkt bleibt die fehlende Transparenz. Nur eine Minderheit der Unternehmen </w:t>
      </w:r>
      <w:r w:rsidR="00BC08C1">
        <w:rPr>
          <w:rFonts w:ascii="Sora" w:hAnsi="Sora" w:cs="Sora"/>
          <w:szCs w:val="22"/>
        </w:rPr>
        <w:t>kennt die vollständige Lieferkette über</w:t>
      </w:r>
      <w:r>
        <w:rPr>
          <w:rFonts w:ascii="Sora" w:hAnsi="Sora" w:cs="Sora"/>
          <w:szCs w:val="22"/>
        </w:rPr>
        <w:t xml:space="preserve"> </w:t>
      </w:r>
      <w:r w:rsidR="00887547">
        <w:rPr>
          <w:rFonts w:ascii="Sora" w:hAnsi="Sora" w:cs="Sora"/>
          <w:szCs w:val="22"/>
        </w:rPr>
        <w:t>die</w:t>
      </w:r>
      <w:r>
        <w:rPr>
          <w:rFonts w:ascii="Sora" w:hAnsi="Sora" w:cs="Sora"/>
          <w:szCs w:val="22"/>
        </w:rPr>
        <w:t xml:space="preserve"> unmittelbaren Lieferanten hinaus.</w:t>
      </w:r>
    </w:p>
    <w:p w14:paraId="5698DEA2" w14:textId="77777777" w:rsidR="005747E3" w:rsidRDefault="005747E3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159F8911" w14:textId="6B6DCA10" w:rsidR="007D5799" w:rsidRDefault="007D5799" w:rsidP="007D5799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„</w:t>
      </w:r>
      <w:r w:rsidRPr="007D5799">
        <w:rPr>
          <w:rFonts w:ascii="Sora" w:hAnsi="Sora" w:cs="Sora"/>
          <w:szCs w:val="22"/>
        </w:rPr>
        <w:t xml:space="preserve">Die Vielzahl an Störungen in globalen Liefernetzwerken erhöht die </w:t>
      </w:r>
      <w:r>
        <w:rPr>
          <w:rFonts w:ascii="Sora" w:hAnsi="Sora" w:cs="Sora"/>
          <w:szCs w:val="22"/>
        </w:rPr>
        <w:t xml:space="preserve">Summe der </w:t>
      </w:r>
      <w:r w:rsidRPr="007D5799">
        <w:rPr>
          <w:rFonts w:ascii="Sora" w:hAnsi="Sora" w:cs="Sora"/>
          <w:szCs w:val="22"/>
        </w:rPr>
        <w:t>Risiken</w:t>
      </w:r>
      <w:r>
        <w:rPr>
          <w:rFonts w:ascii="Sora" w:hAnsi="Sora" w:cs="Sora"/>
          <w:szCs w:val="22"/>
        </w:rPr>
        <w:t xml:space="preserve"> enorm</w:t>
      </w:r>
      <w:r w:rsidRPr="007D5799">
        <w:rPr>
          <w:rFonts w:ascii="Sora" w:hAnsi="Sora" w:cs="Sora"/>
          <w:szCs w:val="22"/>
        </w:rPr>
        <w:t>. D</w:t>
      </w:r>
      <w:r>
        <w:rPr>
          <w:rFonts w:ascii="Sora" w:hAnsi="Sora" w:cs="Sora"/>
          <w:szCs w:val="22"/>
        </w:rPr>
        <w:t>och lückenlose</w:t>
      </w:r>
      <w:r w:rsidRPr="007D5799">
        <w:rPr>
          <w:rFonts w:ascii="Sora" w:hAnsi="Sora" w:cs="Sora"/>
          <w:szCs w:val="22"/>
        </w:rPr>
        <w:t xml:space="preserve"> Transparenz über die gesamte Lieferkette hinweg </w:t>
      </w:r>
      <w:r>
        <w:rPr>
          <w:rFonts w:ascii="Sora" w:hAnsi="Sora" w:cs="Sora"/>
          <w:szCs w:val="22"/>
        </w:rPr>
        <w:t>ist</w:t>
      </w:r>
      <w:r w:rsidRPr="007D5799">
        <w:rPr>
          <w:rFonts w:ascii="Sora" w:hAnsi="Sora" w:cs="Sora"/>
          <w:szCs w:val="22"/>
        </w:rPr>
        <w:t xml:space="preserve"> für Unternehmen eine Herausforderung. </w:t>
      </w:r>
      <w:r>
        <w:rPr>
          <w:rFonts w:ascii="Sora" w:hAnsi="Sora" w:cs="Sora"/>
          <w:szCs w:val="22"/>
        </w:rPr>
        <w:t>Unternehmen müssen diese Aufgabe lösen, denn w</w:t>
      </w:r>
      <w:r w:rsidRPr="007D5799">
        <w:rPr>
          <w:rFonts w:ascii="Sora" w:hAnsi="Sora" w:cs="Sora"/>
          <w:szCs w:val="22"/>
        </w:rPr>
        <w:t xml:space="preserve">er potenzielle Risiken frühzeitig erkennt, kann Schwachstellen identifizieren, bevor sie die Produktivität beeinträchtigen </w:t>
      </w:r>
      <w:r w:rsidR="00887547">
        <w:rPr>
          <w:rFonts w:ascii="Sora" w:hAnsi="Sora" w:cs="Sora"/>
          <w:szCs w:val="22"/>
        </w:rPr>
        <w:t>und damit</w:t>
      </w:r>
      <w:r w:rsidRPr="007D5799">
        <w:rPr>
          <w:rFonts w:ascii="Sora" w:hAnsi="Sora" w:cs="Sora"/>
          <w:szCs w:val="22"/>
        </w:rPr>
        <w:t xml:space="preserve"> die </w:t>
      </w:r>
      <w:r w:rsidR="00887547">
        <w:rPr>
          <w:rFonts w:ascii="Sora" w:hAnsi="Sora" w:cs="Sora"/>
          <w:szCs w:val="22"/>
        </w:rPr>
        <w:t xml:space="preserve">eigene </w:t>
      </w:r>
      <w:r w:rsidRPr="007D5799">
        <w:rPr>
          <w:rFonts w:ascii="Sora" w:hAnsi="Sora" w:cs="Sora"/>
          <w:szCs w:val="22"/>
        </w:rPr>
        <w:t>Lieferfähigkeit gefährden,</w:t>
      </w:r>
      <w:r>
        <w:rPr>
          <w:rFonts w:ascii="Sora" w:hAnsi="Sora" w:cs="Sora"/>
          <w:szCs w:val="22"/>
        </w:rPr>
        <w:t>“</w:t>
      </w:r>
      <w:r w:rsidRPr="007D5799">
        <w:rPr>
          <w:rFonts w:ascii="Sora" w:hAnsi="Sora" w:cs="Sora"/>
          <w:szCs w:val="22"/>
        </w:rPr>
        <w:t xml:space="preserve"> sagt </w:t>
      </w:r>
      <w:r>
        <w:rPr>
          <w:rFonts w:ascii="Sora" w:hAnsi="Sora" w:cs="Sora"/>
          <w:szCs w:val="22"/>
        </w:rPr>
        <w:t>Lepperhoff</w:t>
      </w:r>
      <w:r w:rsidRPr="007D5799">
        <w:rPr>
          <w:rFonts w:ascii="Sora" w:hAnsi="Sora" w:cs="Sora"/>
          <w:szCs w:val="22"/>
        </w:rPr>
        <w:t>.</w:t>
      </w:r>
    </w:p>
    <w:p w14:paraId="0F3DDCBD" w14:textId="77777777" w:rsidR="007D5799" w:rsidRPr="007D5799" w:rsidRDefault="007D5799" w:rsidP="007D5799">
      <w:pPr>
        <w:spacing w:line="276" w:lineRule="auto"/>
        <w:ind w:right="-567"/>
        <w:rPr>
          <w:rFonts w:ascii="Sora" w:hAnsi="Sora" w:cs="Sora"/>
          <w:szCs w:val="22"/>
        </w:rPr>
      </w:pPr>
    </w:p>
    <w:p w14:paraId="1C262CA1" w14:textId="2DF1DB8C" w:rsidR="00BB021A" w:rsidRDefault="007D5799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Zunehmend schwierig gestaltet sich auch d</w:t>
      </w:r>
      <w:r w:rsidR="007153C8">
        <w:rPr>
          <w:rFonts w:ascii="Sora" w:hAnsi="Sora" w:cs="Sora"/>
          <w:szCs w:val="22"/>
        </w:rPr>
        <w:t>as</w:t>
      </w:r>
      <w:r w:rsidR="00BB021A">
        <w:rPr>
          <w:rFonts w:ascii="Sora" w:hAnsi="Sora" w:cs="Sora"/>
          <w:szCs w:val="22"/>
        </w:rPr>
        <w:t xml:space="preserve"> Kosten</w:t>
      </w:r>
      <w:r w:rsidR="007153C8">
        <w:rPr>
          <w:rFonts w:ascii="Sora" w:hAnsi="Sora" w:cs="Sora"/>
          <w:szCs w:val="22"/>
        </w:rPr>
        <w:t>management</w:t>
      </w:r>
      <w:r w:rsidR="00BB021A">
        <w:rPr>
          <w:rFonts w:ascii="Sora" w:hAnsi="Sora" w:cs="Sora"/>
          <w:szCs w:val="22"/>
        </w:rPr>
        <w:t xml:space="preserve">. Zwar berichten Unternehmen von Verbesserungen bei </w:t>
      </w:r>
      <w:r>
        <w:rPr>
          <w:rFonts w:ascii="Sora" w:hAnsi="Sora" w:cs="Sora"/>
          <w:szCs w:val="22"/>
        </w:rPr>
        <w:t xml:space="preserve">der Zuverlässigkeit und Liefertreue von </w:t>
      </w:r>
      <w:r w:rsidR="00BB021A">
        <w:rPr>
          <w:rFonts w:ascii="Sora" w:hAnsi="Sora" w:cs="Sora"/>
          <w:szCs w:val="22"/>
        </w:rPr>
        <w:t>Lieferanten</w:t>
      </w:r>
      <w:r>
        <w:rPr>
          <w:rFonts w:ascii="Sora" w:hAnsi="Sora" w:cs="Sora"/>
          <w:szCs w:val="22"/>
        </w:rPr>
        <w:t xml:space="preserve"> </w:t>
      </w:r>
      <w:r w:rsidR="00BB021A">
        <w:rPr>
          <w:rFonts w:ascii="Sora" w:hAnsi="Sora" w:cs="Sora"/>
          <w:szCs w:val="22"/>
        </w:rPr>
        <w:t xml:space="preserve">– beide Werte stiegen im Jahresvergleich um jeweils </w:t>
      </w:r>
      <w:r w:rsidR="007153C8">
        <w:rPr>
          <w:rFonts w:ascii="Sora" w:hAnsi="Sora" w:cs="Sora"/>
          <w:szCs w:val="22"/>
        </w:rPr>
        <w:t>fünf</w:t>
      </w:r>
      <w:r w:rsidR="00BB021A">
        <w:rPr>
          <w:rFonts w:ascii="Sora" w:hAnsi="Sora" w:cs="Sora"/>
          <w:szCs w:val="22"/>
        </w:rPr>
        <w:t xml:space="preserve"> Prozentpunkte – doch die Preisstabili</w:t>
      </w:r>
      <w:r w:rsidR="007153C8">
        <w:rPr>
          <w:rFonts w:ascii="Sora" w:hAnsi="Sora" w:cs="Sora"/>
          <w:szCs w:val="22"/>
        </w:rPr>
        <w:t>tät</w:t>
      </w:r>
      <w:r w:rsidR="00BB021A">
        <w:rPr>
          <w:rFonts w:ascii="Sora" w:hAnsi="Sora" w:cs="Sora"/>
          <w:szCs w:val="22"/>
        </w:rPr>
        <w:t xml:space="preserve"> verschlechterte sich um </w:t>
      </w:r>
      <w:r w:rsidR="007153C8">
        <w:rPr>
          <w:rFonts w:ascii="Sora" w:hAnsi="Sora" w:cs="Sora"/>
          <w:szCs w:val="22"/>
        </w:rPr>
        <w:t>acht</w:t>
      </w:r>
      <w:r w:rsidR="00BB021A">
        <w:rPr>
          <w:rFonts w:ascii="Sora" w:hAnsi="Sora" w:cs="Sora"/>
          <w:szCs w:val="22"/>
        </w:rPr>
        <w:t xml:space="preserve"> Punkte auf nur noch 34 %. </w:t>
      </w:r>
      <w:r w:rsidR="007153C8">
        <w:rPr>
          <w:rFonts w:ascii="Sora" w:hAnsi="Sora" w:cs="Sora"/>
          <w:szCs w:val="22"/>
        </w:rPr>
        <w:t xml:space="preserve">Neben </w:t>
      </w:r>
      <w:r w:rsidR="007153C8" w:rsidRPr="005747E3">
        <w:rPr>
          <w:rFonts w:ascii="Sora" w:hAnsi="Sora" w:cs="Sora"/>
          <w:szCs w:val="22"/>
        </w:rPr>
        <w:t xml:space="preserve">Preisrisiken </w:t>
      </w:r>
      <w:r w:rsidR="007153C8">
        <w:rPr>
          <w:rFonts w:ascii="Sora" w:hAnsi="Sora" w:cs="Sora"/>
          <w:szCs w:val="22"/>
        </w:rPr>
        <w:t xml:space="preserve">gehören </w:t>
      </w:r>
      <w:r w:rsidR="00BB021A" w:rsidRPr="005747E3">
        <w:rPr>
          <w:rFonts w:ascii="Sora" w:hAnsi="Sora" w:cs="Sora"/>
          <w:szCs w:val="22"/>
        </w:rPr>
        <w:t>Qualität und Cybersicherheit</w:t>
      </w:r>
      <w:r w:rsidR="00BB021A">
        <w:rPr>
          <w:rFonts w:ascii="Sora" w:hAnsi="Sora" w:cs="Sora"/>
          <w:szCs w:val="22"/>
        </w:rPr>
        <w:t xml:space="preserve"> zu den meistgenannten Prioritäten</w:t>
      </w:r>
      <w:r w:rsidR="007153C8">
        <w:rPr>
          <w:rFonts w:ascii="Sora" w:hAnsi="Sora" w:cs="Sora"/>
          <w:szCs w:val="22"/>
        </w:rPr>
        <w:t>, genannt</w:t>
      </w:r>
      <w:r w:rsidR="00BB021A">
        <w:rPr>
          <w:rFonts w:ascii="Sora" w:hAnsi="Sora" w:cs="Sora"/>
          <w:szCs w:val="22"/>
        </w:rPr>
        <w:t xml:space="preserve"> jeweils von knapp einem Drittel der Befragten.</w:t>
      </w:r>
      <w:r w:rsidR="00887547" w:rsidRPr="00887547">
        <w:rPr>
          <w:rFonts w:ascii="Sora" w:hAnsi="Sora" w:cs="Sora"/>
          <w:szCs w:val="22"/>
        </w:rPr>
        <w:t xml:space="preserve"> </w:t>
      </w:r>
      <w:r w:rsidR="00887547">
        <w:rPr>
          <w:rFonts w:ascii="Sora" w:hAnsi="Sora" w:cs="Sora"/>
          <w:szCs w:val="22"/>
        </w:rPr>
        <w:t>Der Einkauf steht damit unter wachsendem Druck.</w:t>
      </w:r>
    </w:p>
    <w:p w14:paraId="794723D4" w14:textId="77777777" w:rsidR="005747E3" w:rsidRDefault="005747E3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3C262CA2" w14:textId="77777777" w:rsidR="00BB021A" w:rsidRDefault="00BB021A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>
        <w:rPr>
          <w:rFonts w:ascii="Sora" w:hAnsi="Sora" w:cs="Sora"/>
          <w:b/>
          <w:bCs/>
          <w:szCs w:val="22"/>
        </w:rPr>
        <w:t>Von der Globalisierung zur Resilienz: Lieferketten werden neu gezeichnet</w:t>
      </w:r>
    </w:p>
    <w:p w14:paraId="28493CDD" w14:textId="610AC143" w:rsidR="00B3518A" w:rsidRDefault="4E327204" w:rsidP="187E330B">
      <w:pPr>
        <w:spacing w:line="276" w:lineRule="auto"/>
        <w:ind w:right="-567"/>
        <w:rPr>
          <w:rFonts w:ascii="Sora" w:hAnsi="Sora" w:cs="Sora"/>
        </w:rPr>
      </w:pPr>
      <w:r w:rsidRPr="187E330B">
        <w:rPr>
          <w:rFonts w:ascii="Sora" w:hAnsi="Sora" w:cs="Sora"/>
        </w:rPr>
        <w:t xml:space="preserve">Als Reaktion auf die anhaltenden </w:t>
      </w:r>
      <w:r w:rsidR="2324E0A2" w:rsidRPr="187E330B">
        <w:rPr>
          <w:rFonts w:ascii="Sora" w:hAnsi="Sora" w:cs="Sora"/>
        </w:rPr>
        <w:t>Krisen</w:t>
      </w:r>
      <w:r w:rsidRPr="187E330B">
        <w:rPr>
          <w:rFonts w:ascii="Sora" w:hAnsi="Sora" w:cs="Sora"/>
        </w:rPr>
        <w:t xml:space="preserve"> </w:t>
      </w:r>
      <w:r w:rsidR="51E91588" w:rsidRPr="187E330B">
        <w:rPr>
          <w:rFonts w:ascii="Sora" w:hAnsi="Sora" w:cs="Sora"/>
        </w:rPr>
        <w:t>seit Beginn der Covid-Pandemie gestalten Unternehmen weiterhin aktiv ihre Lieferketten neu</w:t>
      </w:r>
      <w:r w:rsidRPr="187E330B">
        <w:rPr>
          <w:rFonts w:ascii="Sora" w:hAnsi="Sora" w:cs="Sora"/>
        </w:rPr>
        <w:t xml:space="preserve">: 46 % der </w:t>
      </w:r>
      <w:r w:rsidR="74B0994E" w:rsidRPr="187E330B">
        <w:rPr>
          <w:rFonts w:ascii="Sora" w:hAnsi="Sora" w:cs="Sora"/>
        </w:rPr>
        <w:t xml:space="preserve">befragten </w:t>
      </w:r>
      <w:r w:rsidRPr="187E330B">
        <w:rPr>
          <w:rFonts w:ascii="Sora" w:hAnsi="Sora" w:cs="Sora"/>
        </w:rPr>
        <w:t xml:space="preserve">Unternehmen konsolidieren </w:t>
      </w:r>
      <w:r w:rsidR="2324E0A2" w:rsidRPr="187E330B">
        <w:rPr>
          <w:rFonts w:ascii="Sora" w:hAnsi="Sora" w:cs="Sora"/>
        </w:rPr>
        <w:t xml:space="preserve">aktuell </w:t>
      </w:r>
      <w:r w:rsidRPr="187E330B">
        <w:rPr>
          <w:rFonts w:ascii="Sora" w:hAnsi="Sora" w:cs="Sora"/>
        </w:rPr>
        <w:t xml:space="preserve">ihre Lieferantenbasis, rund ein Drittel verfolgt Nearshoring- oder </w:t>
      </w:r>
      <w:proofErr w:type="spellStart"/>
      <w:r w:rsidRPr="187E330B">
        <w:rPr>
          <w:rFonts w:ascii="Sora" w:hAnsi="Sora" w:cs="Sora"/>
        </w:rPr>
        <w:t>Reshoring</w:t>
      </w:r>
      <w:proofErr w:type="spellEnd"/>
      <w:r w:rsidRPr="187E330B">
        <w:rPr>
          <w:rFonts w:ascii="Sora" w:hAnsi="Sora" w:cs="Sora"/>
        </w:rPr>
        <w:t xml:space="preserve">-Strategien. Als Haupttreiber </w:t>
      </w:r>
      <w:r w:rsidR="2324E0A2" w:rsidRPr="187E330B">
        <w:rPr>
          <w:rFonts w:ascii="Sora" w:hAnsi="Sora" w:cs="Sora"/>
        </w:rPr>
        <w:t xml:space="preserve">dafür nennen </w:t>
      </w:r>
      <w:r w:rsidR="43F9FB6A" w:rsidRPr="187E330B">
        <w:rPr>
          <w:rFonts w:ascii="Sora" w:hAnsi="Sora" w:cs="Sora"/>
        </w:rPr>
        <w:t>viele</w:t>
      </w:r>
      <w:r w:rsidR="2324E0A2" w:rsidRPr="187E330B">
        <w:rPr>
          <w:rFonts w:ascii="Sora" w:hAnsi="Sora" w:cs="Sora"/>
        </w:rPr>
        <w:t xml:space="preserve"> Befragten die</w:t>
      </w:r>
      <w:r w:rsidRPr="187E330B">
        <w:rPr>
          <w:rFonts w:ascii="Sora" w:hAnsi="Sora" w:cs="Sora"/>
        </w:rPr>
        <w:t xml:space="preserve"> Handelszölle. </w:t>
      </w:r>
    </w:p>
    <w:p w14:paraId="412D9628" w14:textId="77777777" w:rsidR="00B3518A" w:rsidRDefault="00B3518A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3C262CA4" w14:textId="7A996418" w:rsidR="00BB021A" w:rsidRDefault="60235F37" w:rsidP="187E330B">
      <w:pPr>
        <w:spacing w:line="276" w:lineRule="auto"/>
        <w:ind w:right="-567"/>
        <w:rPr>
          <w:rFonts w:ascii="Sora" w:hAnsi="Sora" w:cs="Sora"/>
        </w:rPr>
      </w:pPr>
      <w:r w:rsidRPr="187E330B">
        <w:rPr>
          <w:rFonts w:ascii="Sora" w:hAnsi="Sora" w:cs="Sora"/>
        </w:rPr>
        <w:t xml:space="preserve">Dies zeigt, dass </w:t>
      </w:r>
      <w:r w:rsidR="2324E0A2" w:rsidRPr="187E330B">
        <w:rPr>
          <w:rFonts w:ascii="Sora" w:hAnsi="Sora" w:cs="Sora"/>
        </w:rPr>
        <w:t>Resilienz bei der Gestaltung der</w:t>
      </w:r>
      <w:r w:rsidR="4E327204" w:rsidRPr="187E330B">
        <w:rPr>
          <w:rFonts w:ascii="Sora" w:hAnsi="Sora" w:cs="Sora"/>
        </w:rPr>
        <w:t xml:space="preserve"> Lieferketten</w:t>
      </w:r>
      <w:r w:rsidR="2324E0A2" w:rsidRPr="187E330B">
        <w:rPr>
          <w:rFonts w:ascii="Sora" w:hAnsi="Sora" w:cs="Sora"/>
        </w:rPr>
        <w:t xml:space="preserve"> </w:t>
      </w:r>
      <w:r w:rsidR="693C4BCE" w:rsidRPr="187E330B">
        <w:rPr>
          <w:rFonts w:ascii="Sora" w:hAnsi="Sora" w:cs="Sora"/>
        </w:rPr>
        <w:t xml:space="preserve">immer stärker </w:t>
      </w:r>
      <w:r w:rsidR="2324E0A2" w:rsidRPr="187E330B">
        <w:rPr>
          <w:rFonts w:ascii="Sora" w:hAnsi="Sora" w:cs="Sora"/>
        </w:rPr>
        <w:t>in den Fokus</w:t>
      </w:r>
      <w:r w:rsidR="78EF8CB3" w:rsidRPr="187E330B">
        <w:rPr>
          <w:rFonts w:ascii="Sora" w:hAnsi="Sora" w:cs="Sora"/>
        </w:rPr>
        <w:t xml:space="preserve"> rückt, während die Kostenoptimierung </w:t>
      </w:r>
      <w:r w:rsidR="00C25B50">
        <w:rPr>
          <w:rFonts w:ascii="Sora" w:hAnsi="Sora" w:cs="Sora"/>
        </w:rPr>
        <w:t xml:space="preserve">nicht mehr das oberste </w:t>
      </w:r>
      <w:r w:rsidR="00C25B50">
        <w:rPr>
          <w:rFonts w:ascii="Sora" w:hAnsi="Sora" w:cs="Sora"/>
        </w:rPr>
        <w:lastRenderedPageBreak/>
        <w:t>Ziel ist</w:t>
      </w:r>
      <w:r w:rsidR="4E327204" w:rsidRPr="187E330B">
        <w:rPr>
          <w:rFonts w:ascii="Sora" w:hAnsi="Sora" w:cs="Sora"/>
        </w:rPr>
        <w:t>.</w:t>
      </w:r>
      <w:r w:rsidR="43F9FB6A" w:rsidRPr="187E330B">
        <w:rPr>
          <w:rFonts w:ascii="Sora" w:hAnsi="Sora" w:cs="Sora"/>
        </w:rPr>
        <w:t xml:space="preserve"> </w:t>
      </w:r>
      <w:r w:rsidR="4E327204" w:rsidRPr="187E330B">
        <w:rPr>
          <w:rFonts w:ascii="Sora" w:hAnsi="Sora" w:cs="Sora"/>
        </w:rPr>
        <w:t>„</w:t>
      </w:r>
      <w:r w:rsidR="2324E0A2" w:rsidRPr="187E330B">
        <w:rPr>
          <w:rFonts w:ascii="Sora" w:hAnsi="Sora" w:cs="Sora"/>
        </w:rPr>
        <w:t xml:space="preserve">Für </w:t>
      </w:r>
      <w:r w:rsidR="4E327204" w:rsidRPr="187E330B">
        <w:rPr>
          <w:rFonts w:ascii="Sora" w:hAnsi="Sora" w:cs="Sora"/>
        </w:rPr>
        <w:t xml:space="preserve">Unternehmen </w:t>
      </w:r>
      <w:r w:rsidR="2324E0A2" w:rsidRPr="187E330B">
        <w:rPr>
          <w:rFonts w:ascii="Sora" w:hAnsi="Sora" w:cs="Sora"/>
        </w:rPr>
        <w:t>sind das</w:t>
      </w:r>
      <w:r w:rsidR="4E327204" w:rsidRPr="187E330B">
        <w:rPr>
          <w:rFonts w:ascii="Sora" w:hAnsi="Sora" w:cs="Sora"/>
        </w:rPr>
        <w:t xml:space="preserve"> schwierige Abwägungen. Viele </w:t>
      </w:r>
      <w:r w:rsidR="2324E0A2" w:rsidRPr="187E330B">
        <w:rPr>
          <w:rFonts w:ascii="Sora" w:hAnsi="Sora" w:cs="Sora"/>
        </w:rPr>
        <w:t>definieren g</w:t>
      </w:r>
      <w:r w:rsidR="4E327204" w:rsidRPr="187E330B">
        <w:rPr>
          <w:rFonts w:ascii="Sora" w:hAnsi="Sora" w:cs="Sora"/>
        </w:rPr>
        <w:t xml:space="preserve">erade, wie viel </w:t>
      </w:r>
      <w:r w:rsidR="00DE723B">
        <w:rPr>
          <w:rFonts w:ascii="Sora" w:hAnsi="Sora" w:cs="Sora"/>
        </w:rPr>
        <w:t xml:space="preserve">ihnen </w:t>
      </w:r>
      <w:r w:rsidR="000269E6">
        <w:rPr>
          <w:rFonts w:ascii="Sora" w:hAnsi="Sora" w:cs="Sora"/>
        </w:rPr>
        <w:t xml:space="preserve">die zusätzliche Resilienz </w:t>
      </w:r>
      <w:r w:rsidR="00DE723B">
        <w:rPr>
          <w:rFonts w:ascii="Sora" w:hAnsi="Sora" w:cs="Sora"/>
        </w:rPr>
        <w:t>w</w:t>
      </w:r>
      <w:r w:rsidR="00631FF1">
        <w:rPr>
          <w:rFonts w:ascii="Sora" w:hAnsi="Sora" w:cs="Sora"/>
        </w:rPr>
        <w:t>ert ist</w:t>
      </w:r>
      <w:r w:rsidR="00DE723B">
        <w:rPr>
          <w:rFonts w:ascii="Sora" w:hAnsi="Sora" w:cs="Sora"/>
        </w:rPr>
        <w:t xml:space="preserve">, also </w:t>
      </w:r>
      <w:r w:rsidR="00631FF1">
        <w:rPr>
          <w:rFonts w:ascii="Sora" w:hAnsi="Sora" w:cs="Sora"/>
        </w:rPr>
        <w:t xml:space="preserve">wie </w:t>
      </w:r>
      <w:r w:rsidR="00DE723B">
        <w:rPr>
          <w:rFonts w:ascii="Sora" w:hAnsi="Sora" w:cs="Sora"/>
        </w:rPr>
        <w:t xml:space="preserve">viel sie bereit sind dafür zu </w:t>
      </w:r>
      <w:r w:rsidR="00631FF1">
        <w:rPr>
          <w:rFonts w:ascii="Sora" w:hAnsi="Sora" w:cs="Sora"/>
        </w:rPr>
        <w:t>zahl</w:t>
      </w:r>
      <w:r w:rsidR="00DE723B">
        <w:rPr>
          <w:rFonts w:ascii="Sora" w:hAnsi="Sora" w:cs="Sora"/>
        </w:rPr>
        <w:t>en</w:t>
      </w:r>
      <w:r w:rsidR="00631FF1">
        <w:rPr>
          <w:rFonts w:ascii="Sora" w:hAnsi="Sora" w:cs="Sora"/>
        </w:rPr>
        <w:t xml:space="preserve"> </w:t>
      </w:r>
      <w:r w:rsidR="4E327204" w:rsidRPr="187E330B">
        <w:rPr>
          <w:rFonts w:ascii="Sora" w:hAnsi="Sora" w:cs="Sora"/>
        </w:rPr>
        <w:t xml:space="preserve">“, so </w:t>
      </w:r>
      <w:r w:rsidR="2324E0A2" w:rsidRPr="187E330B">
        <w:rPr>
          <w:rFonts w:ascii="Sora" w:hAnsi="Sora" w:cs="Sora"/>
        </w:rPr>
        <w:t>Lepperhoff</w:t>
      </w:r>
      <w:r w:rsidR="4E327204" w:rsidRPr="187E330B">
        <w:rPr>
          <w:rFonts w:ascii="Sora" w:hAnsi="Sora" w:cs="Sora"/>
        </w:rPr>
        <w:t>.</w:t>
      </w:r>
    </w:p>
    <w:p w14:paraId="7944C66F" w14:textId="77777777" w:rsidR="00B3518A" w:rsidRDefault="00B3518A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</w:p>
    <w:p w14:paraId="3C262CA5" w14:textId="7D2AA1C6" w:rsidR="00BB021A" w:rsidRDefault="00BB021A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>
        <w:rPr>
          <w:rFonts w:ascii="Sora" w:hAnsi="Sora" w:cs="Sora"/>
          <w:b/>
          <w:bCs/>
          <w:szCs w:val="22"/>
        </w:rPr>
        <w:t xml:space="preserve">Digitale Tools ja – aber reaktiv statt </w:t>
      </w:r>
      <w:r w:rsidR="004E477E">
        <w:rPr>
          <w:rFonts w:ascii="Sora" w:hAnsi="Sora" w:cs="Sora"/>
          <w:b/>
          <w:bCs/>
          <w:szCs w:val="22"/>
        </w:rPr>
        <w:t>proaktiv</w:t>
      </w:r>
    </w:p>
    <w:p w14:paraId="3C262CA6" w14:textId="64B0E563" w:rsidR="00BB021A" w:rsidRDefault="00BB021A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89 % der Unternehmen setzen digitale Tools im Risikomanagement ein, 67 % davon in großem Umfang – ein Anstieg von 21 Prozentpunkten gegenüber der Vorgängerstudie. Doch die meisten nutzen diese Daten reaktiv statt</w:t>
      </w:r>
      <w:r w:rsidR="004E477E" w:rsidRPr="004E477E">
        <w:rPr>
          <w:rFonts w:ascii="Sora" w:hAnsi="Sora" w:cs="Sora"/>
          <w:szCs w:val="22"/>
        </w:rPr>
        <w:t xml:space="preserve"> </w:t>
      </w:r>
      <w:r w:rsidR="004E477E">
        <w:rPr>
          <w:rFonts w:ascii="Sora" w:hAnsi="Sora" w:cs="Sora"/>
          <w:szCs w:val="22"/>
        </w:rPr>
        <w:t>proaktiv</w:t>
      </w:r>
      <w:r>
        <w:rPr>
          <w:rFonts w:ascii="Sora" w:hAnsi="Sora" w:cs="Sora"/>
          <w:szCs w:val="22"/>
        </w:rPr>
        <w:t>: Die am häufigsten eingesetzten Tools werden von Task Forces genutzt</w:t>
      </w:r>
      <w:r w:rsidR="004E477E">
        <w:rPr>
          <w:rFonts w:ascii="Sora" w:hAnsi="Sora" w:cs="Sora"/>
          <w:szCs w:val="22"/>
        </w:rPr>
        <w:t>, wenn ein Risiko akut eingetreten ist</w:t>
      </w:r>
      <w:r>
        <w:rPr>
          <w:rFonts w:ascii="Sora" w:hAnsi="Sora" w:cs="Sora"/>
          <w:szCs w:val="22"/>
        </w:rPr>
        <w:t xml:space="preserve"> (27 %), während </w:t>
      </w:r>
      <w:r w:rsidR="004E477E">
        <w:rPr>
          <w:rFonts w:ascii="Sora" w:hAnsi="Sora" w:cs="Sora"/>
          <w:szCs w:val="22"/>
        </w:rPr>
        <w:t xml:space="preserve">vorausschauende </w:t>
      </w:r>
      <w:r>
        <w:rPr>
          <w:rFonts w:ascii="Sora" w:hAnsi="Sora" w:cs="Sora"/>
          <w:szCs w:val="22"/>
        </w:rPr>
        <w:t>Instrumente wie Frühwarn</w:t>
      </w:r>
      <w:r w:rsidR="004E477E">
        <w:rPr>
          <w:rFonts w:ascii="Sora" w:hAnsi="Sora" w:cs="Sora"/>
          <w:szCs w:val="22"/>
        </w:rPr>
        <w:t>s</w:t>
      </w:r>
      <w:r>
        <w:rPr>
          <w:rFonts w:ascii="Sora" w:hAnsi="Sora" w:cs="Sora"/>
          <w:szCs w:val="22"/>
        </w:rPr>
        <w:t xml:space="preserve">ysteme (21 %) und KI-gestütztes Lieferantenmonitoring (23 %) seltener zum Einsatz kommen. „Der entscheidende Schritt ist der Wechsel von reaktiven Antworten zu </w:t>
      </w:r>
      <w:r w:rsidR="004E477E">
        <w:rPr>
          <w:rFonts w:ascii="Sora" w:hAnsi="Sora" w:cs="Sora"/>
          <w:szCs w:val="22"/>
        </w:rPr>
        <w:t>proaktivem</w:t>
      </w:r>
      <w:r>
        <w:rPr>
          <w:rFonts w:ascii="Sora" w:hAnsi="Sora" w:cs="Sora"/>
          <w:szCs w:val="22"/>
        </w:rPr>
        <w:t xml:space="preserve"> Risikomanagement – mit Daten und KI, um </w:t>
      </w:r>
      <w:r w:rsidR="004E477E">
        <w:rPr>
          <w:rFonts w:ascii="Sora" w:hAnsi="Sora" w:cs="Sora"/>
          <w:szCs w:val="22"/>
        </w:rPr>
        <w:t>eine Krise</w:t>
      </w:r>
      <w:r>
        <w:rPr>
          <w:rFonts w:ascii="Sora" w:hAnsi="Sora" w:cs="Sora"/>
          <w:szCs w:val="22"/>
        </w:rPr>
        <w:t xml:space="preserve"> zu antizipieren, bevor sie eintritt. Das ermöglicht es Unternehmen, auch dann </w:t>
      </w:r>
      <w:r w:rsidR="004E477E">
        <w:rPr>
          <w:rFonts w:ascii="Sora" w:hAnsi="Sora" w:cs="Sora"/>
          <w:szCs w:val="22"/>
        </w:rPr>
        <w:t>lieferfähig zu sein</w:t>
      </w:r>
      <w:r>
        <w:rPr>
          <w:rFonts w:ascii="Sora" w:hAnsi="Sora" w:cs="Sora"/>
          <w:szCs w:val="22"/>
        </w:rPr>
        <w:t xml:space="preserve"> und Kundenerwartungen zu erfüllen, wenn andere </w:t>
      </w:r>
      <w:r w:rsidR="004E477E">
        <w:rPr>
          <w:rFonts w:ascii="Sora" w:hAnsi="Sora" w:cs="Sora"/>
          <w:szCs w:val="22"/>
        </w:rPr>
        <w:t xml:space="preserve">es nicht </w:t>
      </w:r>
      <w:r w:rsidR="00CB291E">
        <w:rPr>
          <w:rFonts w:ascii="Sora" w:hAnsi="Sora" w:cs="Sora"/>
          <w:szCs w:val="22"/>
        </w:rPr>
        <w:t xml:space="preserve">mehr </w:t>
      </w:r>
      <w:r w:rsidR="004E477E">
        <w:rPr>
          <w:rFonts w:ascii="Sora" w:hAnsi="Sora" w:cs="Sora"/>
          <w:szCs w:val="22"/>
        </w:rPr>
        <w:t>können</w:t>
      </w:r>
      <w:r>
        <w:rPr>
          <w:rFonts w:ascii="Sora" w:hAnsi="Sora" w:cs="Sora"/>
          <w:szCs w:val="22"/>
        </w:rPr>
        <w:t>“, erklärt</w:t>
      </w:r>
      <w:r w:rsidR="004E477E">
        <w:rPr>
          <w:rFonts w:ascii="Sora" w:hAnsi="Sora" w:cs="Sora"/>
          <w:szCs w:val="22"/>
        </w:rPr>
        <w:t xml:space="preserve"> Lepperhoff</w:t>
      </w:r>
      <w:r>
        <w:rPr>
          <w:rFonts w:ascii="Sora" w:hAnsi="Sora" w:cs="Sora"/>
          <w:szCs w:val="22"/>
        </w:rPr>
        <w:t>.</w:t>
      </w:r>
    </w:p>
    <w:p w14:paraId="6B6D31E6" w14:textId="77777777" w:rsidR="00B3518A" w:rsidRDefault="00B3518A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3C262CA8" w14:textId="50E786B6" w:rsidR="00BB021A" w:rsidRDefault="004E477E" w:rsidP="00BB021A">
      <w:pPr>
        <w:spacing w:line="276" w:lineRule="auto"/>
        <w:ind w:right="-567"/>
        <w:rPr>
          <w:rFonts w:ascii="Sora" w:hAnsi="Sora" w:cs="Sora"/>
          <w:szCs w:val="22"/>
        </w:rPr>
      </w:pPr>
      <w:r w:rsidRPr="004E477E">
        <w:rPr>
          <w:rFonts w:ascii="Sora" w:hAnsi="Sora" w:cs="Sora"/>
          <w:szCs w:val="22"/>
        </w:rPr>
        <w:t xml:space="preserve">In einer Welt, in der Störungen zum Dauerzustand geworden sind und sich gegenseitig verstärken, wird Resilienz </w:t>
      </w:r>
      <w:r w:rsidR="00CB291E">
        <w:rPr>
          <w:rFonts w:ascii="Sora" w:hAnsi="Sora" w:cs="Sora"/>
          <w:szCs w:val="22"/>
        </w:rPr>
        <w:t xml:space="preserve">ein relevanter </w:t>
      </w:r>
      <w:r w:rsidRPr="004E477E">
        <w:rPr>
          <w:rFonts w:ascii="Sora" w:hAnsi="Sora" w:cs="Sora"/>
          <w:szCs w:val="22"/>
        </w:rPr>
        <w:t>Wettbewerbsfaktor</w:t>
      </w:r>
      <w:r>
        <w:rPr>
          <w:rFonts w:ascii="Sora" w:hAnsi="Sora" w:cs="Sora"/>
          <w:szCs w:val="22"/>
        </w:rPr>
        <w:t xml:space="preserve">. </w:t>
      </w:r>
      <w:r w:rsidRPr="004E477E">
        <w:rPr>
          <w:rFonts w:ascii="Sora" w:hAnsi="Sora" w:cs="Sora"/>
          <w:szCs w:val="22"/>
        </w:rPr>
        <w:t xml:space="preserve">Unternehmen, die Risiken frühzeitig antizipieren, Schocks abfedern und sich flexibel an neue Gegebenheiten anpassen können, verschaffen sich entscheidende Vorteile. </w:t>
      </w:r>
      <w:r>
        <w:rPr>
          <w:rFonts w:ascii="Sora" w:hAnsi="Sora" w:cs="Sora"/>
          <w:szCs w:val="22"/>
        </w:rPr>
        <w:t>Daher</w:t>
      </w:r>
      <w:r w:rsidRPr="004E477E">
        <w:rPr>
          <w:rFonts w:ascii="Sora" w:hAnsi="Sora" w:cs="Sora"/>
          <w:szCs w:val="22"/>
        </w:rPr>
        <w:t xml:space="preserve"> sollten sie digitale Risikomanagementlösungen gezielt nutzen, um Risiken nicht nur zu überwachen, sondern proaktiv gegenzu</w:t>
      </w:r>
      <w:r>
        <w:rPr>
          <w:rFonts w:ascii="Sora" w:hAnsi="Sora" w:cs="Sora"/>
          <w:szCs w:val="22"/>
        </w:rPr>
        <w:t>steuern</w:t>
      </w:r>
      <w:r w:rsidRPr="004E477E">
        <w:rPr>
          <w:rFonts w:ascii="Sora" w:hAnsi="Sora" w:cs="Sora"/>
          <w:szCs w:val="22"/>
        </w:rPr>
        <w:t>.</w:t>
      </w:r>
    </w:p>
    <w:p w14:paraId="6A33A8A0" w14:textId="77777777" w:rsidR="004E477E" w:rsidRDefault="004E477E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3C262CA9" w14:textId="77777777" w:rsidR="00BB021A" w:rsidRDefault="00BB021A" w:rsidP="00BB021A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>
        <w:rPr>
          <w:rFonts w:ascii="Sora" w:hAnsi="Sora" w:cs="Sora"/>
          <w:b/>
          <w:bCs/>
          <w:szCs w:val="22"/>
        </w:rPr>
        <w:t>Über die Studie</w:t>
      </w:r>
    </w:p>
    <w:p w14:paraId="3C262CAA" w14:textId="03D28097" w:rsidR="00BB021A" w:rsidRDefault="00512B0C" w:rsidP="00BB021A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Für d</w:t>
      </w:r>
      <w:r w:rsidR="00BB021A">
        <w:rPr>
          <w:rFonts w:ascii="Sora" w:hAnsi="Sora" w:cs="Sora"/>
          <w:szCs w:val="22"/>
        </w:rPr>
        <w:t xml:space="preserve">ie Inverto Risk &amp; </w:t>
      </w:r>
      <w:proofErr w:type="spellStart"/>
      <w:r w:rsidR="00BB021A">
        <w:rPr>
          <w:rFonts w:ascii="Sora" w:hAnsi="Sora" w:cs="Sora"/>
          <w:szCs w:val="22"/>
        </w:rPr>
        <w:t>Resilience</w:t>
      </w:r>
      <w:proofErr w:type="spellEnd"/>
      <w:r w:rsidR="00BB021A">
        <w:rPr>
          <w:rFonts w:ascii="Sora" w:hAnsi="Sora" w:cs="Sora"/>
          <w:szCs w:val="22"/>
        </w:rPr>
        <w:t xml:space="preserve"> Study 2026 </w:t>
      </w:r>
      <w:r>
        <w:rPr>
          <w:rFonts w:ascii="Sora" w:hAnsi="Sora" w:cs="Sora"/>
          <w:szCs w:val="22"/>
        </w:rPr>
        <w:t xml:space="preserve">wurden zwischen Februar und April </w:t>
      </w:r>
      <w:r w:rsidR="00BB021A">
        <w:rPr>
          <w:rFonts w:ascii="Sora" w:hAnsi="Sora" w:cs="Sora"/>
          <w:szCs w:val="22"/>
        </w:rPr>
        <w:t>411 Führungskräfte</w:t>
      </w:r>
      <w:r>
        <w:rPr>
          <w:rFonts w:ascii="Sora" w:hAnsi="Sora" w:cs="Sora"/>
          <w:szCs w:val="22"/>
        </w:rPr>
        <w:t xml:space="preserve"> aus ganz Europa befragt</w:t>
      </w:r>
      <w:r w:rsidR="00525A0C">
        <w:rPr>
          <w:rFonts w:ascii="Sora" w:hAnsi="Sora" w:cs="Sora"/>
          <w:szCs w:val="22"/>
        </w:rPr>
        <w:t xml:space="preserve">. </w:t>
      </w:r>
      <w:r w:rsidR="00BB021A">
        <w:rPr>
          <w:rFonts w:ascii="Sora" w:hAnsi="Sora" w:cs="Sora"/>
          <w:szCs w:val="22"/>
        </w:rPr>
        <w:t xml:space="preserve">Die Studie umfasst </w:t>
      </w:r>
      <w:r>
        <w:rPr>
          <w:rFonts w:ascii="Sora" w:hAnsi="Sora" w:cs="Sora"/>
          <w:szCs w:val="22"/>
        </w:rPr>
        <w:t>verschiedene</w:t>
      </w:r>
      <w:r w:rsidR="00BB021A">
        <w:rPr>
          <w:rFonts w:ascii="Sora" w:hAnsi="Sora" w:cs="Sora"/>
          <w:szCs w:val="22"/>
        </w:rPr>
        <w:t xml:space="preserve"> Branchen</w:t>
      </w:r>
      <w:r>
        <w:rPr>
          <w:rFonts w:ascii="Sora" w:hAnsi="Sora" w:cs="Sora"/>
          <w:szCs w:val="22"/>
        </w:rPr>
        <w:t xml:space="preserve"> </w:t>
      </w:r>
      <w:r w:rsidR="00BB021A">
        <w:rPr>
          <w:rFonts w:ascii="Sora" w:hAnsi="Sora" w:cs="Sora"/>
          <w:szCs w:val="22"/>
        </w:rPr>
        <w:t>und erscheint seit 2010.</w:t>
      </w:r>
      <w:r>
        <w:rPr>
          <w:rFonts w:ascii="Sora" w:hAnsi="Sora" w:cs="Sora"/>
          <w:szCs w:val="22"/>
        </w:rPr>
        <w:t xml:space="preserve"> Interessierte können </w:t>
      </w:r>
      <w:r w:rsidR="00CB291E">
        <w:rPr>
          <w:rFonts w:ascii="Sora" w:hAnsi="Sora" w:cs="Sora"/>
          <w:szCs w:val="22"/>
        </w:rPr>
        <w:t>die Ergebnisse</w:t>
      </w:r>
      <w:r>
        <w:rPr>
          <w:rFonts w:ascii="Sora" w:hAnsi="Sora" w:cs="Sora"/>
          <w:szCs w:val="22"/>
        </w:rPr>
        <w:t xml:space="preserve"> hier kostenlos herunterladen: </w:t>
      </w:r>
      <w:hyperlink r:id="rId8" w:history="1">
        <w:proofErr w:type="spellStart"/>
        <w:r w:rsidR="00241745" w:rsidRPr="00241745">
          <w:rPr>
            <w:rStyle w:val="Hyperlink"/>
            <w:rFonts w:ascii="Sora" w:hAnsi="Sora" w:cs="Sora"/>
            <w:szCs w:val="22"/>
          </w:rPr>
          <w:t>Results</w:t>
        </w:r>
        <w:proofErr w:type="spellEnd"/>
        <w:r w:rsidR="00241745" w:rsidRPr="00241745">
          <w:rPr>
            <w:rStyle w:val="Hyperlink"/>
            <w:rFonts w:ascii="Sora" w:hAnsi="Sora" w:cs="Sora"/>
            <w:szCs w:val="22"/>
          </w:rPr>
          <w:t xml:space="preserve"> from </w:t>
        </w:r>
        <w:proofErr w:type="spellStart"/>
        <w:r w:rsidR="00241745" w:rsidRPr="00241745">
          <w:rPr>
            <w:rStyle w:val="Hyperlink"/>
            <w:rFonts w:ascii="Sora" w:hAnsi="Sora" w:cs="Sora"/>
            <w:szCs w:val="22"/>
          </w:rPr>
          <w:t>the</w:t>
        </w:r>
        <w:proofErr w:type="spellEnd"/>
        <w:r w:rsidR="00241745" w:rsidRPr="00241745">
          <w:rPr>
            <w:rStyle w:val="Hyperlink"/>
            <w:rFonts w:ascii="Sora" w:hAnsi="Sora" w:cs="Sora"/>
            <w:szCs w:val="22"/>
          </w:rPr>
          <w:t xml:space="preserve"> Risk &amp; </w:t>
        </w:r>
        <w:proofErr w:type="spellStart"/>
        <w:r w:rsidR="00241745" w:rsidRPr="00241745">
          <w:rPr>
            <w:rStyle w:val="Hyperlink"/>
            <w:rFonts w:ascii="Sora" w:hAnsi="Sora" w:cs="Sora"/>
            <w:szCs w:val="22"/>
          </w:rPr>
          <w:t>Resilience</w:t>
        </w:r>
        <w:proofErr w:type="spellEnd"/>
        <w:r w:rsidR="00241745" w:rsidRPr="00241745">
          <w:rPr>
            <w:rStyle w:val="Hyperlink"/>
            <w:rFonts w:ascii="Sora" w:hAnsi="Sora" w:cs="Sora"/>
            <w:szCs w:val="22"/>
          </w:rPr>
          <w:t xml:space="preserve"> Study 2026 | Inverto</w:t>
        </w:r>
      </w:hyperlink>
    </w:p>
    <w:p w14:paraId="27B4B7F4" w14:textId="77777777" w:rsidR="005747E3" w:rsidRDefault="005747E3" w:rsidP="004F27E8">
      <w:pPr>
        <w:autoSpaceDE w:val="0"/>
        <w:autoSpaceDN w:val="0"/>
        <w:spacing w:line="276" w:lineRule="auto"/>
        <w:ind w:right="-567"/>
        <w:rPr>
          <w:rFonts w:ascii="Sora" w:hAnsi="Sora" w:cs="Sora"/>
          <w:b/>
          <w:bCs/>
        </w:rPr>
      </w:pPr>
    </w:p>
    <w:p w14:paraId="29CBB688" w14:textId="05B5BA32" w:rsidR="00027C91" w:rsidRPr="004F27E8" w:rsidRDefault="00E243EA" w:rsidP="004F27E8">
      <w:pPr>
        <w:autoSpaceDE w:val="0"/>
        <w:autoSpaceDN w:val="0"/>
        <w:spacing w:line="276" w:lineRule="auto"/>
        <w:ind w:right="-567"/>
        <w:rPr>
          <w:rFonts w:ascii="Sora" w:hAnsi="Sora" w:cs="Sora"/>
          <w:b/>
          <w:bCs/>
        </w:rPr>
      </w:pPr>
      <w:r>
        <w:rPr>
          <w:rFonts w:ascii="Sora" w:hAnsi="Sora" w:cs="Sora"/>
          <w:b/>
          <w:bCs/>
        </w:rPr>
        <w:t>Über Inverto</w:t>
      </w:r>
    </w:p>
    <w:p w14:paraId="2C60B4DF" w14:textId="72F6B60F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  <w:bookmarkStart w:id="1" w:name="_Hlk200617337"/>
      <w:r>
        <w:rPr>
          <w:rFonts w:ascii="Sora" w:hAnsi="Sora" w:cs="Sora"/>
        </w:rPr>
        <w:t>Inverto ist eine der weltweit führenden Unternehmensberatungen für strategischen Einkauf und Supply-Chain-Management. Die Beratungsgesellschaft geht mit ihren Services weit über reines Kostenmanagement hinaus, um für ihre Kunden echten Mehrwert und Wettbewerbsvorteile zu schaffen. Inverto transformiert Einkaufs- und Lieferkettenfunktionen, fördert Innovation, Resilienz und Nachhaltigkeit und ermöglicht damit langfristigen Erfolg.</w:t>
      </w:r>
    </w:p>
    <w:p w14:paraId="5D74F7D7" w14:textId="77777777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</w:p>
    <w:p w14:paraId="15078A49" w14:textId="75D030D6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  <w:r>
        <w:rPr>
          <w:rFonts w:ascii="Sora" w:hAnsi="Sora" w:cs="Sora"/>
        </w:rPr>
        <w:t xml:space="preserve">Als Tochter der Boston Consulting Group (BCG) erweitert Inverto das umfangreiche Leistungsangebot von BCG mit einer breiten Palette Lösungen zur Optimierung des Einkaufs. Inverto beschäftigt derzeit mehr als 700 </w:t>
      </w:r>
      <w:proofErr w:type="spellStart"/>
      <w:r>
        <w:rPr>
          <w:rFonts w:ascii="Sora" w:hAnsi="Sora" w:cs="Sora"/>
        </w:rPr>
        <w:t>Expert:innen</w:t>
      </w:r>
      <w:proofErr w:type="spellEnd"/>
      <w:r>
        <w:rPr>
          <w:rFonts w:ascii="Sora" w:hAnsi="Sora" w:cs="Sora"/>
        </w:rPr>
        <w:t xml:space="preserve"> auf drei Kontinenten. Zu den Kunden zählen weltweit bekannte Marken aus allen Branchen sowie führende Private-Equity-Firmen.</w:t>
      </w:r>
    </w:p>
    <w:p w14:paraId="7CC55982" w14:textId="77777777" w:rsidR="00FC2466" w:rsidRPr="004F27E8" w:rsidRDefault="00FC2466" w:rsidP="004F27E8">
      <w:pPr>
        <w:autoSpaceDE w:val="0"/>
        <w:autoSpaceDN w:val="0"/>
        <w:spacing w:line="276" w:lineRule="auto"/>
        <w:ind w:right="-567"/>
        <w:rPr>
          <w:rFonts w:ascii="Sora" w:hAnsi="Sora" w:cs="Sora"/>
          <w:b/>
          <w:bCs/>
        </w:rPr>
      </w:pPr>
    </w:p>
    <w:bookmarkEnd w:id="1"/>
    <w:p w14:paraId="29963B6D" w14:textId="4402E4BD" w:rsidR="00233B84" w:rsidRPr="004F27E8" w:rsidRDefault="004F27E8" w:rsidP="004F27E8">
      <w:pPr>
        <w:spacing w:line="276" w:lineRule="auto"/>
        <w:ind w:right="-567"/>
        <w:rPr>
          <w:rFonts w:ascii="Sora" w:hAnsi="Sora" w:cs="Sora"/>
        </w:rPr>
      </w:pPr>
      <w:r>
        <w:rPr>
          <w:rFonts w:ascii="Sora" w:hAnsi="Sora" w:cs="Sora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840A08" wp14:editId="03899BC3">
                <wp:simplePos x="0" y="0"/>
                <wp:positionH relativeFrom="margin">
                  <wp:align>left</wp:align>
                </wp:positionH>
                <wp:positionV relativeFrom="paragraph">
                  <wp:posOffset>363855</wp:posOffset>
                </wp:positionV>
                <wp:extent cx="5838825" cy="1325880"/>
                <wp:effectExtent l="0" t="0" r="9525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25880"/>
                        </a:xfrm>
                        <a:prstGeom prst="rect">
                          <a:avLst/>
                        </a:prstGeom>
                        <a:solidFill>
                          <a:srgbClr val="9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AC07F" w14:textId="77777777" w:rsidR="009F1694" w:rsidRPr="004F27E8" w:rsidRDefault="009F1694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Sora" w:hAnsi="Sora" w:cs="Sora"/>
                                <w:b/>
                                <w:szCs w:val="20"/>
                              </w:rPr>
                              <w:t>PRESSEKONTAKT</w:t>
                            </w:r>
                          </w:p>
                          <w:p w14:paraId="2667C7F7" w14:textId="75D00C67" w:rsidR="009F1694" w:rsidRPr="004F27E8" w:rsidRDefault="00F55D88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</w:rPr>
                            </w:pPr>
                            <w:r>
                              <w:rPr>
                                <w:rFonts w:ascii="Sora" w:hAnsi="Sora" w:cs="Sora"/>
                                <w:szCs w:val="20"/>
                              </w:rPr>
                              <w:t>Inverto GmbH • Lichtstraße 43 i • 50825 Köln</w:t>
                            </w:r>
                          </w:p>
                          <w:p w14:paraId="766F2412" w14:textId="7BBD92CD" w:rsidR="009F1694" w:rsidRPr="00FB663D" w:rsidRDefault="00FB663D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Ina Ullrich • PR Manager</w:t>
                            </w:r>
                          </w:p>
                          <w:p w14:paraId="5EA3344D" w14:textId="7D1A774D" w:rsidR="004F27E8" w:rsidRPr="002E25E5" w:rsidRDefault="00715656" w:rsidP="004F27E8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Phone: +49 221 485 687 265 • +49 162 1015 255 • Email: iullrich@inverto.com</w:t>
                            </w:r>
                          </w:p>
                          <w:p w14:paraId="20C7C279" w14:textId="1020D6F8" w:rsidR="009F1694" w:rsidRPr="004F27E8" w:rsidRDefault="00715656" w:rsidP="009F1694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Web: www.inverto.com/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40A0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8.65pt;width:459.75pt;height:104.4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" fillcolor="#99d9d9" stroked="f">
                <v:textbox>
                  <w:txbxContent>
                    <w:p w14:paraId="7C6AC07F" w14:textId="77777777" w:rsidR="009F1694" w:rsidRPr="004F27E8" w:rsidRDefault="009F1694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b/>
                          <w:szCs w:val="20"/>
                        </w:rPr>
                      </w:pPr>
                      <w:r>
                        <w:rPr>
                          <w:rFonts w:ascii="Sora" w:hAnsi="Sora" w:cs="Sora"/>
                          <w:b/>
                          <w:szCs w:val="20"/>
                        </w:rPr>
                        <w:t>PRESSEKONTAKT</w:t>
                      </w:r>
                    </w:p>
                    <w:p w14:paraId="2667C7F7" w14:textId="75D00C67" w:rsidR="009F1694" w:rsidRPr="004F27E8" w:rsidRDefault="00F55D88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</w:rPr>
                      </w:pPr>
                      <w:r>
                        <w:rPr>
                          <w:rFonts w:ascii="Sora" w:hAnsi="Sora" w:cs="Sora"/>
                          <w:szCs w:val="20"/>
                        </w:rPr>
                        <w:t>Inverto GmbH • Lichtstraße 43 i • 50825 Köln</w:t>
                      </w:r>
                    </w:p>
                    <w:p w14:paraId="766F2412" w14:textId="7BBD92CD" w:rsidR="009F1694" w:rsidRPr="00FB663D" w:rsidRDefault="00FB663D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>
                        <w:rPr>
                          <w:rFonts w:ascii="Sora" w:hAnsi="Sora" w:cs="Sora"/>
                          <w:szCs w:val="20"/>
                          <w:lang w:val="en-US"/>
                        </w:rPr>
                        <w:t>Ina Ullrich • PR Manager</w:t>
                      </w:r>
                    </w:p>
                    <w:p w14:paraId="5EA3344D" w14:textId="7D1A774D" w:rsidR="004F27E8" w:rsidRPr="002E25E5" w:rsidRDefault="00715656" w:rsidP="004F27E8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GB"/>
                        </w:rPr>
                      </w:pPr>
                      <w:r>
                        <w:rPr>
                          <w:rFonts w:ascii="Sora" w:hAnsi="Sora" w:cs="Sora"/>
                          <w:szCs w:val="20"/>
                          <w:lang w:val="en-GB"/>
                        </w:rPr>
                        <w:t>Phone: +49 221 485 687 265 • +49 162 1015 255 • Email: iullrich@inverto.com</w:t>
                      </w:r>
                    </w:p>
                    <w:p w14:paraId="20C7C279" w14:textId="1020D6F8" w:rsidR="009F1694" w:rsidRPr="004F27E8" w:rsidRDefault="00715656" w:rsidP="009F1694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>
                        <w:rPr>
                          <w:rFonts w:ascii="Sora" w:hAnsi="Sora" w:cs="Sora"/>
                          <w:szCs w:val="20"/>
                          <w:lang w:val="en-US"/>
                        </w:rPr>
                        <w:t>Web: www.inverto.com/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ora" w:hAnsi="Sora" w:cs="Sora"/>
        </w:rPr>
        <w:t>Mehr Informationen unter www.inverto.com. </w:t>
      </w:r>
    </w:p>
    <w:sectPr w:rsidR="00233B84" w:rsidRPr="004F27E8" w:rsidSect="00163D1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2550" w:bottom="1021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B8A2" w14:textId="77777777" w:rsidR="00FE3C57" w:rsidRDefault="00FE3C57">
      <w:r>
        <w:separator/>
      </w:r>
    </w:p>
  </w:endnote>
  <w:endnote w:type="continuationSeparator" w:id="0">
    <w:p w14:paraId="43B7A0E6" w14:textId="77777777" w:rsidR="00FE3C57" w:rsidRDefault="00FE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ra">
    <w:altName w:val="Leelawadee UI"/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D1FA" w14:textId="77777777" w:rsidR="002A0C43" w:rsidRDefault="002A0C4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7B24E5E" w14:textId="77777777" w:rsidR="002A0C43" w:rsidRDefault="002A0C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B8ED" w14:textId="7B730BD8" w:rsidR="002A0C43" w:rsidRDefault="002A0C43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PAGE  </w:instrText>
    </w:r>
    <w:r>
      <w:rPr>
        <w:rStyle w:val="Seitenzahl"/>
        <w:rFonts w:ascii="Arial" w:hAnsi="Arial" w:cs="Arial"/>
        <w:sz w:val="16"/>
      </w:rPr>
      <w:fldChar w:fldCharType="separate"/>
    </w:r>
    <w:r w:rsidR="00375ED0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>/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 w:rsidR="00375ED0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</w:p>
  <w:p w14:paraId="172628E7" w14:textId="77777777" w:rsidR="002A0C43" w:rsidRDefault="002A0C43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179" w14:textId="77777777" w:rsidR="002A0C43" w:rsidRDefault="002A0C43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>/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3</w:t>
    </w:r>
    <w:r>
      <w:rPr>
        <w:rStyle w:val="Seitenzahl"/>
        <w:rFonts w:ascii="Arial" w:hAnsi="Arial" w:cs="Arial"/>
        <w:sz w:val="16"/>
      </w:rPr>
      <w:fldChar w:fldCharType="end"/>
    </w:r>
  </w:p>
  <w:p w14:paraId="7BE0FF89" w14:textId="77777777" w:rsidR="002A0C43" w:rsidRDefault="002A0C43">
    <w:pPr>
      <w:ind w:right="360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022C" w14:textId="77777777" w:rsidR="00FE3C57" w:rsidRDefault="00FE3C57">
      <w:r>
        <w:separator/>
      </w:r>
    </w:p>
  </w:footnote>
  <w:footnote w:type="continuationSeparator" w:id="0">
    <w:p w14:paraId="197C5BF2" w14:textId="77777777" w:rsidR="00FE3C57" w:rsidRDefault="00FE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D91D" w14:textId="51CE6DB8" w:rsidR="00CA0135" w:rsidRDefault="00C1127F" w:rsidP="002E7263">
    <w:pPr>
      <w:pStyle w:val="Kopfzeile"/>
      <w:ind w:right="-226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41783" wp14:editId="5B3A539F">
          <wp:simplePos x="0" y="0"/>
          <wp:positionH relativeFrom="page">
            <wp:align>right</wp:align>
          </wp:positionH>
          <wp:positionV relativeFrom="paragraph">
            <wp:posOffset>-231775</wp:posOffset>
          </wp:positionV>
          <wp:extent cx="3707130" cy="1182004"/>
          <wp:effectExtent l="0" t="0" r="0" b="0"/>
          <wp:wrapSquare wrapText="bothSides"/>
          <wp:docPr id="1303133750" name="Grafik 1" descr="Ein Bild, das Schrift, Grafiken, Logo, Text enthält.  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33750" name="Grafik 1" descr="Ein Bild, das Schrift, Grafiken, Logo, Text enthält.  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7130" cy="1182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C43">
      <w:tab/>
    </w:r>
  </w:p>
  <w:p w14:paraId="7519B84D" w14:textId="77777777" w:rsidR="00CA0135" w:rsidRDefault="00CA0135" w:rsidP="002E7263">
    <w:pPr>
      <w:pStyle w:val="Kopfzeile"/>
      <w:ind w:right="-2268"/>
      <w:jc w:val="center"/>
    </w:pPr>
  </w:p>
  <w:p w14:paraId="4D60ABA5" w14:textId="77777777" w:rsidR="00CA0135" w:rsidRDefault="00CA0135" w:rsidP="002E7263">
    <w:pPr>
      <w:pStyle w:val="Kopfzeile"/>
      <w:ind w:right="-2268"/>
      <w:jc w:val="center"/>
    </w:pPr>
  </w:p>
  <w:p w14:paraId="426ED5CF" w14:textId="77777777" w:rsidR="00CA0135" w:rsidRDefault="00CA0135" w:rsidP="002E7263">
    <w:pPr>
      <w:pStyle w:val="Kopfzeile"/>
      <w:ind w:right="-2268"/>
      <w:jc w:val="center"/>
    </w:pPr>
  </w:p>
  <w:p w14:paraId="1526682F" w14:textId="77777777" w:rsidR="00CA0135" w:rsidRDefault="00CA0135" w:rsidP="00C1127F">
    <w:pPr>
      <w:pStyle w:val="Kopfzeile"/>
      <w:ind w:right="-2268"/>
    </w:pPr>
  </w:p>
  <w:p w14:paraId="4E643E77" w14:textId="77777777" w:rsidR="00C1127F" w:rsidRDefault="00C1127F" w:rsidP="00C1127F">
    <w:pPr>
      <w:pStyle w:val="Kopfzeile"/>
      <w:ind w:right="-2268"/>
    </w:pPr>
  </w:p>
  <w:p w14:paraId="621981DF" w14:textId="66D1AEA9" w:rsidR="002A0C43" w:rsidRDefault="002A0C43" w:rsidP="002E7263">
    <w:pPr>
      <w:pStyle w:val="Kopfzeile"/>
      <w:ind w:right="-2268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1D56" w14:textId="77777777" w:rsidR="002A0C43" w:rsidRDefault="002A0C43">
    <w:pPr>
      <w:pStyle w:val="Kopfzeile"/>
      <w:ind w:right="-2858"/>
      <w:jc w:val="right"/>
      <w:rPr>
        <w:sz w:val="18"/>
        <w:szCs w:val="18"/>
      </w:rPr>
    </w:pPr>
  </w:p>
  <w:p w14:paraId="1B014602" w14:textId="77777777" w:rsidR="002A0C43" w:rsidRDefault="002A0C43">
    <w:pPr>
      <w:jc w:val="right"/>
      <w:rPr>
        <w:sz w:val="18"/>
        <w:szCs w:val="18"/>
      </w:rPr>
    </w:pPr>
    <w:r>
      <w:rPr>
        <w:noProof/>
        <w:color w:val="0000FF"/>
      </w:rPr>
      <w:drawing>
        <wp:inline distT="0" distB="0" distL="0" distR="0" wp14:anchorId="2B533F50" wp14:editId="33B0B8C7">
          <wp:extent cx="1524000" cy="571500"/>
          <wp:effectExtent l="19050" t="0" r="0" b="0"/>
          <wp:docPr id="2" name="Grafik 1" descr="Logo INVERT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INVERT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E7856F" w14:textId="77777777" w:rsidR="002A0C43" w:rsidRDefault="002A0C43">
    <w:pPr>
      <w:rPr>
        <w:sz w:val="18"/>
        <w:szCs w:val="18"/>
      </w:rPr>
    </w:pPr>
  </w:p>
  <w:p w14:paraId="3EF6AA79" w14:textId="77777777" w:rsidR="002A0C43" w:rsidRDefault="002A0C43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FA9"/>
    <w:multiLevelType w:val="hybridMultilevel"/>
    <w:tmpl w:val="817E61B0"/>
    <w:lvl w:ilvl="0" w:tplc="5C2800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7451"/>
    <w:multiLevelType w:val="hybridMultilevel"/>
    <w:tmpl w:val="0F521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80C10"/>
    <w:multiLevelType w:val="hybridMultilevel"/>
    <w:tmpl w:val="D0144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3825">
    <w:abstractNumId w:val="0"/>
  </w:num>
  <w:num w:numId="2" w16cid:durableId="121845377">
    <w:abstractNumId w:val="1"/>
  </w:num>
  <w:num w:numId="3" w16cid:durableId="826474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5F"/>
    <w:rsid w:val="000023F7"/>
    <w:rsid w:val="000105D8"/>
    <w:rsid w:val="00011BB8"/>
    <w:rsid w:val="00013D7F"/>
    <w:rsid w:val="00015BD9"/>
    <w:rsid w:val="00016ECA"/>
    <w:rsid w:val="000269E6"/>
    <w:rsid w:val="00027C91"/>
    <w:rsid w:val="00031A48"/>
    <w:rsid w:val="00036AC3"/>
    <w:rsid w:val="00040159"/>
    <w:rsid w:val="0004156C"/>
    <w:rsid w:val="00041F44"/>
    <w:rsid w:val="00045DE8"/>
    <w:rsid w:val="0005248E"/>
    <w:rsid w:val="00053314"/>
    <w:rsid w:val="00053983"/>
    <w:rsid w:val="0005424A"/>
    <w:rsid w:val="00054697"/>
    <w:rsid w:val="00056D11"/>
    <w:rsid w:val="00062EEB"/>
    <w:rsid w:val="00073928"/>
    <w:rsid w:val="00076A70"/>
    <w:rsid w:val="0007717D"/>
    <w:rsid w:val="000817C5"/>
    <w:rsid w:val="00083246"/>
    <w:rsid w:val="00087291"/>
    <w:rsid w:val="00087ADE"/>
    <w:rsid w:val="0009189F"/>
    <w:rsid w:val="000A48DB"/>
    <w:rsid w:val="000A5D7D"/>
    <w:rsid w:val="000A617F"/>
    <w:rsid w:val="000B14C9"/>
    <w:rsid w:val="000B2F44"/>
    <w:rsid w:val="000B3846"/>
    <w:rsid w:val="000B4DC2"/>
    <w:rsid w:val="000C411A"/>
    <w:rsid w:val="000D6F4B"/>
    <w:rsid w:val="000E0182"/>
    <w:rsid w:val="000E025C"/>
    <w:rsid w:val="000E1A33"/>
    <w:rsid w:val="000E2A4D"/>
    <w:rsid w:val="000E45DD"/>
    <w:rsid w:val="000E61EA"/>
    <w:rsid w:val="000F1078"/>
    <w:rsid w:val="000F4A64"/>
    <w:rsid w:val="00102F67"/>
    <w:rsid w:val="0010634F"/>
    <w:rsid w:val="00107698"/>
    <w:rsid w:val="0011617B"/>
    <w:rsid w:val="00117275"/>
    <w:rsid w:val="00120F0F"/>
    <w:rsid w:val="0012359B"/>
    <w:rsid w:val="00130E27"/>
    <w:rsid w:val="00132092"/>
    <w:rsid w:val="00136779"/>
    <w:rsid w:val="0014375F"/>
    <w:rsid w:val="00143FBF"/>
    <w:rsid w:val="00144119"/>
    <w:rsid w:val="00145394"/>
    <w:rsid w:val="00145CF8"/>
    <w:rsid w:val="0014764F"/>
    <w:rsid w:val="00153472"/>
    <w:rsid w:val="00153B18"/>
    <w:rsid w:val="001544E0"/>
    <w:rsid w:val="0015497C"/>
    <w:rsid w:val="00154D91"/>
    <w:rsid w:val="00154ED0"/>
    <w:rsid w:val="00155975"/>
    <w:rsid w:val="00157780"/>
    <w:rsid w:val="00161095"/>
    <w:rsid w:val="00162754"/>
    <w:rsid w:val="00163D1E"/>
    <w:rsid w:val="001701A4"/>
    <w:rsid w:val="0017158B"/>
    <w:rsid w:val="0017743C"/>
    <w:rsid w:val="001807DA"/>
    <w:rsid w:val="0018297B"/>
    <w:rsid w:val="001842B8"/>
    <w:rsid w:val="0018669E"/>
    <w:rsid w:val="001917EB"/>
    <w:rsid w:val="00194931"/>
    <w:rsid w:val="0019689B"/>
    <w:rsid w:val="0019795A"/>
    <w:rsid w:val="001A0352"/>
    <w:rsid w:val="001A0FCF"/>
    <w:rsid w:val="001A1254"/>
    <w:rsid w:val="001A4137"/>
    <w:rsid w:val="001A479E"/>
    <w:rsid w:val="001A484B"/>
    <w:rsid w:val="001A5010"/>
    <w:rsid w:val="001A6331"/>
    <w:rsid w:val="001A64BD"/>
    <w:rsid w:val="001A755D"/>
    <w:rsid w:val="001A76FF"/>
    <w:rsid w:val="001B017B"/>
    <w:rsid w:val="001B167A"/>
    <w:rsid w:val="001B24B3"/>
    <w:rsid w:val="001B27C1"/>
    <w:rsid w:val="001B5539"/>
    <w:rsid w:val="001B5988"/>
    <w:rsid w:val="001C0085"/>
    <w:rsid w:val="001C08D8"/>
    <w:rsid w:val="001C17D6"/>
    <w:rsid w:val="001C338C"/>
    <w:rsid w:val="001C482F"/>
    <w:rsid w:val="001D2345"/>
    <w:rsid w:val="001D5856"/>
    <w:rsid w:val="001D6817"/>
    <w:rsid w:val="001D6863"/>
    <w:rsid w:val="001F5EBB"/>
    <w:rsid w:val="001F7A15"/>
    <w:rsid w:val="002021B8"/>
    <w:rsid w:val="00202DA7"/>
    <w:rsid w:val="00202F54"/>
    <w:rsid w:val="00204279"/>
    <w:rsid w:val="00206928"/>
    <w:rsid w:val="00211B4A"/>
    <w:rsid w:val="00213AF7"/>
    <w:rsid w:val="0021470B"/>
    <w:rsid w:val="00221A6D"/>
    <w:rsid w:val="00224193"/>
    <w:rsid w:val="00231C9A"/>
    <w:rsid w:val="00233B84"/>
    <w:rsid w:val="00233FBE"/>
    <w:rsid w:val="00234AF9"/>
    <w:rsid w:val="00237116"/>
    <w:rsid w:val="00241745"/>
    <w:rsid w:val="002457A5"/>
    <w:rsid w:val="002466EB"/>
    <w:rsid w:val="0025287D"/>
    <w:rsid w:val="00253528"/>
    <w:rsid w:val="00261A59"/>
    <w:rsid w:val="00262A06"/>
    <w:rsid w:val="0026427B"/>
    <w:rsid w:val="002655CA"/>
    <w:rsid w:val="002700C8"/>
    <w:rsid w:val="002753B0"/>
    <w:rsid w:val="00275C96"/>
    <w:rsid w:val="002810BF"/>
    <w:rsid w:val="00282387"/>
    <w:rsid w:val="002A0C43"/>
    <w:rsid w:val="002A2FF8"/>
    <w:rsid w:val="002A4B4A"/>
    <w:rsid w:val="002B026F"/>
    <w:rsid w:val="002B064B"/>
    <w:rsid w:val="002B1DA4"/>
    <w:rsid w:val="002B455E"/>
    <w:rsid w:val="002B5295"/>
    <w:rsid w:val="002B6715"/>
    <w:rsid w:val="002B74A8"/>
    <w:rsid w:val="002C24B4"/>
    <w:rsid w:val="002C2ACB"/>
    <w:rsid w:val="002C619A"/>
    <w:rsid w:val="002C6383"/>
    <w:rsid w:val="002D3296"/>
    <w:rsid w:val="002D49FD"/>
    <w:rsid w:val="002D6AB7"/>
    <w:rsid w:val="002D788D"/>
    <w:rsid w:val="002E25E5"/>
    <w:rsid w:val="002E4E68"/>
    <w:rsid w:val="002E658C"/>
    <w:rsid w:val="002E7263"/>
    <w:rsid w:val="002F0904"/>
    <w:rsid w:val="002F4B91"/>
    <w:rsid w:val="002F5816"/>
    <w:rsid w:val="002F6475"/>
    <w:rsid w:val="00301E1F"/>
    <w:rsid w:val="0030252E"/>
    <w:rsid w:val="003032FA"/>
    <w:rsid w:val="00304302"/>
    <w:rsid w:val="00307B37"/>
    <w:rsid w:val="00310FA3"/>
    <w:rsid w:val="00312ADF"/>
    <w:rsid w:val="00314A30"/>
    <w:rsid w:val="003210A8"/>
    <w:rsid w:val="003214A8"/>
    <w:rsid w:val="003224FB"/>
    <w:rsid w:val="00325596"/>
    <w:rsid w:val="00326060"/>
    <w:rsid w:val="003320CB"/>
    <w:rsid w:val="0034793D"/>
    <w:rsid w:val="00352AD8"/>
    <w:rsid w:val="003605E3"/>
    <w:rsid w:val="0036065F"/>
    <w:rsid w:val="00360BD1"/>
    <w:rsid w:val="00360DA4"/>
    <w:rsid w:val="00362D6A"/>
    <w:rsid w:val="00364363"/>
    <w:rsid w:val="00366166"/>
    <w:rsid w:val="00366229"/>
    <w:rsid w:val="00366C63"/>
    <w:rsid w:val="00372C36"/>
    <w:rsid w:val="00375005"/>
    <w:rsid w:val="00375ED0"/>
    <w:rsid w:val="003764B8"/>
    <w:rsid w:val="00377D25"/>
    <w:rsid w:val="00380D6C"/>
    <w:rsid w:val="003825E4"/>
    <w:rsid w:val="00382CAE"/>
    <w:rsid w:val="00383DEE"/>
    <w:rsid w:val="00385FA0"/>
    <w:rsid w:val="00386F57"/>
    <w:rsid w:val="00393E20"/>
    <w:rsid w:val="003977B0"/>
    <w:rsid w:val="003A56B3"/>
    <w:rsid w:val="003A5DD8"/>
    <w:rsid w:val="003A6466"/>
    <w:rsid w:val="003A78D9"/>
    <w:rsid w:val="003A7D97"/>
    <w:rsid w:val="003B67B0"/>
    <w:rsid w:val="003B6C04"/>
    <w:rsid w:val="003C160F"/>
    <w:rsid w:val="003C1E99"/>
    <w:rsid w:val="003C4E21"/>
    <w:rsid w:val="003D1FEE"/>
    <w:rsid w:val="003D2271"/>
    <w:rsid w:val="003D3B77"/>
    <w:rsid w:val="003D600A"/>
    <w:rsid w:val="003E1330"/>
    <w:rsid w:val="003E2916"/>
    <w:rsid w:val="003E3FA5"/>
    <w:rsid w:val="003F0193"/>
    <w:rsid w:val="003F2451"/>
    <w:rsid w:val="003F37E7"/>
    <w:rsid w:val="003F4D7C"/>
    <w:rsid w:val="003F749F"/>
    <w:rsid w:val="004005A6"/>
    <w:rsid w:val="004017E2"/>
    <w:rsid w:val="0041403D"/>
    <w:rsid w:val="00415C1C"/>
    <w:rsid w:val="00416185"/>
    <w:rsid w:val="00420A2D"/>
    <w:rsid w:val="00424EE5"/>
    <w:rsid w:val="00425C3F"/>
    <w:rsid w:val="00426DDB"/>
    <w:rsid w:val="004277C3"/>
    <w:rsid w:val="004319DB"/>
    <w:rsid w:val="004333AB"/>
    <w:rsid w:val="0043652A"/>
    <w:rsid w:val="004365AE"/>
    <w:rsid w:val="00442E2D"/>
    <w:rsid w:val="00444E83"/>
    <w:rsid w:val="0044639A"/>
    <w:rsid w:val="00446C14"/>
    <w:rsid w:val="00450EFC"/>
    <w:rsid w:val="004619C4"/>
    <w:rsid w:val="004629C7"/>
    <w:rsid w:val="00462FA4"/>
    <w:rsid w:val="0046668D"/>
    <w:rsid w:val="00466FCF"/>
    <w:rsid w:val="00471DD5"/>
    <w:rsid w:val="0047306E"/>
    <w:rsid w:val="00475C90"/>
    <w:rsid w:val="00490276"/>
    <w:rsid w:val="00497861"/>
    <w:rsid w:val="004A3852"/>
    <w:rsid w:val="004A387A"/>
    <w:rsid w:val="004A3AD6"/>
    <w:rsid w:val="004A512B"/>
    <w:rsid w:val="004A7262"/>
    <w:rsid w:val="004B098C"/>
    <w:rsid w:val="004B15F8"/>
    <w:rsid w:val="004B1D02"/>
    <w:rsid w:val="004B28C2"/>
    <w:rsid w:val="004C04B0"/>
    <w:rsid w:val="004C0A10"/>
    <w:rsid w:val="004C26FF"/>
    <w:rsid w:val="004C340B"/>
    <w:rsid w:val="004C4A8B"/>
    <w:rsid w:val="004D16F6"/>
    <w:rsid w:val="004D453F"/>
    <w:rsid w:val="004D633F"/>
    <w:rsid w:val="004E3113"/>
    <w:rsid w:val="004E3EF2"/>
    <w:rsid w:val="004E477E"/>
    <w:rsid w:val="004E4B88"/>
    <w:rsid w:val="004F12BF"/>
    <w:rsid w:val="004F27E8"/>
    <w:rsid w:val="004F4358"/>
    <w:rsid w:val="004F62AF"/>
    <w:rsid w:val="004F633A"/>
    <w:rsid w:val="004F790A"/>
    <w:rsid w:val="00506C4E"/>
    <w:rsid w:val="00507538"/>
    <w:rsid w:val="00511931"/>
    <w:rsid w:val="00511F79"/>
    <w:rsid w:val="00512B0C"/>
    <w:rsid w:val="00525A0C"/>
    <w:rsid w:val="005304D4"/>
    <w:rsid w:val="005339A8"/>
    <w:rsid w:val="00543BCE"/>
    <w:rsid w:val="00546ABC"/>
    <w:rsid w:val="00550E32"/>
    <w:rsid w:val="00554563"/>
    <w:rsid w:val="0056014F"/>
    <w:rsid w:val="0056181F"/>
    <w:rsid w:val="005645D5"/>
    <w:rsid w:val="00570314"/>
    <w:rsid w:val="00572EEA"/>
    <w:rsid w:val="0057322D"/>
    <w:rsid w:val="005747E3"/>
    <w:rsid w:val="00575AA6"/>
    <w:rsid w:val="005839AF"/>
    <w:rsid w:val="00586FD5"/>
    <w:rsid w:val="00595D68"/>
    <w:rsid w:val="00596F52"/>
    <w:rsid w:val="005A1559"/>
    <w:rsid w:val="005B09F8"/>
    <w:rsid w:val="005B2368"/>
    <w:rsid w:val="005B269E"/>
    <w:rsid w:val="005B36C4"/>
    <w:rsid w:val="005C4434"/>
    <w:rsid w:val="005C46A1"/>
    <w:rsid w:val="005C4EB4"/>
    <w:rsid w:val="005C69EF"/>
    <w:rsid w:val="005C771A"/>
    <w:rsid w:val="005D0F6A"/>
    <w:rsid w:val="005D45E0"/>
    <w:rsid w:val="005D51A9"/>
    <w:rsid w:val="005E09A7"/>
    <w:rsid w:val="005F18D9"/>
    <w:rsid w:val="005F3B98"/>
    <w:rsid w:val="005F6121"/>
    <w:rsid w:val="005F647F"/>
    <w:rsid w:val="005F65CD"/>
    <w:rsid w:val="006010F5"/>
    <w:rsid w:val="00602071"/>
    <w:rsid w:val="00606797"/>
    <w:rsid w:val="00606A3C"/>
    <w:rsid w:val="006077DB"/>
    <w:rsid w:val="00611146"/>
    <w:rsid w:val="006150EB"/>
    <w:rsid w:val="00615385"/>
    <w:rsid w:val="00615872"/>
    <w:rsid w:val="0062030A"/>
    <w:rsid w:val="00621AFD"/>
    <w:rsid w:val="006234B6"/>
    <w:rsid w:val="00631711"/>
    <w:rsid w:val="00631FF1"/>
    <w:rsid w:val="0063693B"/>
    <w:rsid w:val="00636BE6"/>
    <w:rsid w:val="006412D6"/>
    <w:rsid w:val="00646991"/>
    <w:rsid w:val="00646D71"/>
    <w:rsid w:val="006477CB"/>
    <w:rsid w:val="006504C4"/>
    <w:rsid w:val="00650C4E"/>
    <w:rsid w:val="00652730"/>
    <w:rsid w:val="00654FC6"/>
    <w:rsid w:val="00660881"/>
    <w:rsid w:val="0066150B"/>
    <w:rsid w:val="00665977"/>
    <w:rsid w:val="00686F72"/>
    <w:rsid w:val="00695697"/>
    <w:rsid w:val="006A0FF0"/>
    <w:rsid w:val="006A4E0F"/>
    <w:rsid w:val="006A6B3A"/>
    <w:rsid w:val="006B227E"/>
    <w:rsid w:val="006B247C"/>
    <w:rsid w:val="006B6698"/>
    <w:rsid w:val="006C2F9B"/>
    <w:rsid w:val="006C66A8"/>
    <w:rsid w:val="006C6CDF"/>
    <w:rsid w:val="006E5639"/>
    <w:rsid w:val="006E6991"/>
    <w:rsid w:val="006E6E64"/>
    <w:rsid w:val="006F1E98"/>
    <w:rsid w:val="006F3A79"/>
    <w:rsid w:val="006F7AA7"/>
    <w:rsid w:val="007019C1"/>
    <w:rsid w:val="00702234"/>
    <w:rsid w:val="00713D32"/>
    <w:rsid w:val="007153C8"/>
    <w:rsid w:val="00715656"/>
    <w:rsid w:val="007160DE"/>
    <w:rsid w:val="0072057A"/>
    <w:rsid w:val="007268AB"/>
    <w:rsid w:val="007278DB"/>
    <w:rsid w:val="00733134"/>
    <w:rsid w:val="00734090"/>
    <w:rsid w:val="0073596B"/>
    <w:rsid w:val="00742A81"/>
    <w:rsid w:val="007456C5"/>
    <w:rsid w:val="00745B4D"/>
    <w:rsid w:val="00752BE7"/>
    <w:rsid w:val="00753DCF"/>
    <w:rsid w:val="00754D16"/>
    <w:rsid w:val="0075512B"/>
    <w:rsid w:val="00757CBE"/>
    <w:rsid w:val="007629B0"/>
    <w:rsid w:val="00764E03"/>
    <w:rsid w:val="00766199"/>
    <w:rsid w:val="0076775A"/>
    <w:rsid w:val="00773634"/>
    <w:rsid w:val="00773D72"/>
    <w:rsid w:val="007743A9"/>
    <w:rsid w:val="00776D20"/>
    <w:rsid w:val="00780871"/>
    <w:rsid w:val="00780BE9"/>
    <w:rsid w:val="00783345"/>
    <w:rsid w:val="00783BA8"/>
    <w:rsid w:val="007853EF"/>
    <w:rsid w:val="007861EB"/>
    <w:rsid w:val="00791D62"/>
    <w:rsid w:val="007932FA"/>
    <w:rsid w:val="00797058"/>
    <w:rsid w:val="007A1DC9"/>
    <w:rsid w:val="007A2557"/>
    <w:rsid w:val="007A38D4"/>
    <w:rsid w:val="007A4E5B"/>
    <w:rsid w:val="007A550E"/>
    <w:rsid w:val="007A6225"/>
    <w:rsid w:val="007B1FF6"/>
    <w:rsid w:val="007B54B1"/>
    <w:rsid w:val="007B5FC8"/>
    <w:rsid w:val="007C19C1"/>
    <w:rsid w:val="007C3110"/>
    <w:rsid w:val="007C3FF0"/>
    <w:rsid w:val="007C4BE5"/>
    <w:rsid w:val="007C4D93"/>
    <w:rsid w:val="007C778D"/>
    <w:rsid w:val="007C7AA4"/>
    <w:rsid w:val="007D0C51"/>
    <w:rsid w:val="007D47D8"/>
    <w:rsid w:val="007D5799"/>
    <w:rsid w:val="007E2313"/>
    <w:rsid w:val="007E2719"/>
    <w:rsid w:val="007E56CB"/>
    <w:rsid w:val="007E6F70"/>
    <w:rsid w:val="007E776D"/>
    <w:rsid w:val="007E797F"/>
    <w:rsid w:val="007F46DC"/>
    <w:rsid w:val="00802049"/>
    <w:rsid w:val="00807F3D"/>
    <w:rsid w:val="0081220B"/>
    <w:rsid w:val="00814F8C"/>
    <w:rsid w:val="00815158"/>
    <w:rsid w:val="008158F0"/>
    <w:rsid w:val="008161AB"/>
    <w:rsid w:val="00816D20"/>
    <w:rsid w:val="008223FF"/>
    <w:rsid w:val="00822A1E"/>
    <w:rsid w:val="0082341A"/>
    <w:rsid w:val="00824C3E"/>
    <w:rsid w:val="00833C34"/>
    <w:rsid w:val="00846B98"/>
    <w:rsid w:val="00852429"/>
    <w:rsid w:val="00852A23"/>
    <w:rsid w:val="00861527"/>
    <w:rsid w:val="008638B1"/>
    <w:rsid w:val="008643B7"/>
    <w:rsid w:val="0086755C"/>
    <w:rsid w:val="008717F2"/>
    <w:rsid w:val="0087373B"/>
    <w:rsid w:val="0087534E"/>
    <w:rsid w:val="008776F8"/>
    <w:rsid w:val="00882E32"/>
    <w:rsid w:val="00883DDB"/>
    <w:rsid w:val="00885C01"/>
    <w:rsid w:val="00887547"/>
    <w:rsid w:val="00890F34"/>
    <w:rsid w:val="00892235"/>
    <w:rsid w:val="00897B6C"/>
    <w:rsid w:val="008A658D"/>
    <w:rsid w:val="008B2975"/>
    <w:rsid w:val="008B39B3"/>
    <w:rsid w:val="008B56BA"/>
    <w:rsid w:val="008B57DA"/>
    <w:rsid w:val="008C05F3"/>
    <w:rsid w:val="008C1CF1"/>
    <w:rsid w:val="008D3A0F"/>
    <w:rsid w:val="008D4E2A"/>
    <w:rsid w:val="008E54E7"/>
    <w:rsid w:val="008F3217"/>
    <w:rsid w:val="008F3DC5"/>
    <w:rsid w:val="008F6CCC"/>
    <w:rsid w:val="009065BF"/>
    <w:rsid w:val="00911D4C"/>
    <w:rsid w:val="00913BDC"/>
    <w:rsid w:val="00917A1C"/>
    <w:rsid w:val="0092002F"/>
    <w:rsid w:val="0092095B"/>
    <w:rsid w:val="00922CAF"/>
    <w:rsid w:val="00925935"/>
    <w:rsid w:val="009259AD"/>
    <w:rsid w:val="00926BF5"/>
    <w:rsid w:val="0092704D"/>
    <w:rsid w:val="009325A6"/>
    <w:rsid w:val="00935E78"/>
    <w:rsid w:val="00936708"/>
    <w:rsid w:val="00936FD1"/>
    <w:rsid w:val="009422CA"/>
    <w:rsid w:val="00942474"/>
    <w:rsid w:val="00943AF4"/>
    <w:rsid w:val="0094515D"/>
    <w:rsid w:val="00945A05"/>
    <w:rsid w:val="00952365"/>
    <w:rsid w:val="00953436"/>
    <w:rsid w:val="00960EF9"/>
    <w:rsid w:val="00965B34"/>
    <w:rsid w:val="009674FB"/>
    <w:rsid w:val="0096780D"/>
    <w:rsid w:val="009678A7"/>
    <w:rsid w:val="009724B6"/>
    <w:rsid w:val="009730D0"/>
    <w:rsid w:val="00973B08"/>
    <w:rsid w:val="00974B69"/>
    <w:rsid w:val="00974DBD"/>
    <w:rsid w:val="00975F7B"/>
    <w:rsid w:val="00976019"/>
    <w:rsid w:val="009768C5"/>
    <w:rsid w:val="00991D9F"/>
    <w:rsid w:val="0099226C"/>
    <w:rsid w:val="00993541"/>
    <w:rsid w:val="009948A1"/>
    <w:rsid w:val="0099562A"/>
    <w:rsid w:val="0099612D"/>
    <w:rsid w:val="00996E5F"/>
    <w:rsid w:val="00996EFF"/>
    <w:rsid w:val="009A649C"/>
    <w:rsid w:val="009B1CE4"/>
    <w:rsid w:val="009B6578"/>
    <w:rsid w:val="009C5DB4"/>
    <w:rsid w:val="009C7073"/>
    <w:rsid w:val="009D3B3E"/>
    <w:rsid w:val="009D6481"/>
    <w:rsid w:val="009D682C"/>
    <w:rsid w:val="009E5E4E"/>
    <w:rsid w:val="009E6DD4"/>
    <w:rsid w:val="009E71DA"/>
    <w:rsid w:val="009F1694"/>
    <w:rsid w:val="009F201A"/>
    <w:rsid w:val="009F221F"/>
    <w:rsid w:val="009F2F17"/>
    <w:rsid w:val="00A0371B"/>
    <w:rsid w:val="00A03EB4"/>
    <w:rsid w:val="00A0605C"/>
    <w:rsid w:val="00A1336E"/>
    <w:rsid w:val="00A1633E"/>
    <w:rsid w:val="00A1651F"/>
    <w:rsid w:val="00A2127D"/>
    <w:rsid w:val="00A234CE"/>
    <w:rsid w:val="00A315C3"/>
    <w:rsid w:val="00A3244C"/>
    <w:rsid w:val="00A378AC"/>
    <w:rsid w:val="00A4036A"/>
    <w:rsid w:val="00A40C09"/>
    <w:rsid w:val="00A41274"/>
    <w:rsid w:val="00A44516"/>
    <w:rsid w:val="00A5013C"/>
    <w:rsid w:val="00A55258"/>
    <w:rsid w:val="00A57DBE"/>
    <w:rsid w:val="00A626C7"/>
    <w:rsid w:val="00A626E8"/>
    <w:rsid w:val="00A63C54"/>
    <w:rsid w:val="00A6441D"/>
    <w:rsid w:val="00A72BB4"/>
    <w:rsid w:val="00A77C49"/>
    <w:rsid w:val="00A8252D"/>
    <w:rsid w:val="00A87609"/>
    <w:rsid w:val="00A91F0D"/>
    <w:rsid w:val="00A9729B"/>
    <w:rsid w:val="00AA05D3"/>
    <w:rsid w:val="00AA41D0"/>
    <w:rsid w:val="00AA4AD2"/>
    <w:rsid w:val="00AA57C9"/>
    <w:rsid w:val="00AB05AE"/>
    <w:rsid w:val="00AB0E5F"/>
    <w:rsid w:val="00AB649C"/>
    <w:rsid w:val="00AC0656"/>
    <w:rsid w:val="00AC08E7"/>
    <w:rsid w:val="00AC0C74"/>
    <w:rsid w:val="00AC2527"/>
    <w:rsid w:val="00AC3400"/>
    <w:rsid w:val="00AC7B7F"/>
    <w:rsid w:val="00AD12F3"/>
    <w:rsid w:val="00AD1BB4"/>
    <w:rsid w:val="00AE57EB"/>
    <w:rsid w:val="00AF248A"/>
    <w:rsid w:val="00B012D8"/>
    <w:rsid w:val="00B02430"/>
    <w:rsid w:val="00B034EB"/>
    <w:rsid w:val="00B03708"/>
    <w:rsid w:val="00B04B59"/>
    <w:rsid w:val="00B05584"/>
    <w:rsid w:val="00B05778"/>
    <w:rsid w:val="00B068D3"/>
    <w:rsid w:val="00B109DE"/>
    <w:rsid w:val="00B123E4"/>
    <w:rsid w:val="00B12C68"/>
    <w:rsid w:val="00B14956"/>
    <w:rsid w:val="00B21E31"/>
    <w:rsid w:val="00B21FB0"/>
    <w:rsid w:val="00B23E93"/>
    <w:rsid w:val="00B25075"/>
    <w:rsid w:val="00B27441"/>
    <w:rsid w:val="00B27C8E"/>
    <w:rsid w:val="00B3518A"/>
    <w:rsid w:val="00B356FB"/>
    <w:rsid w:val="00B35CC5"/>
    <w:rsid w:val="00B35DAC"/>
    <w:rsid w:val="00B406B9"/>
    <w:rsid w:val="00B40CAB"/>
    <w:rsid w:val="00B41D18"/>
    <w:rsid w:val="00B42461"/>
    <w:rsid w:val="00B438DD"/>
    <w:rsid w:val="00B46CF9"/>
    <w:rsid w:val="00B472F7"/>
    <w:rsid w:val="00B52297"/>
    <w:rsid w:val="00B62312"/>
    <w:rsid w:val="00B6351E"/>
    <w:rsid w:val="00B7751E"/>
    <w:rsid w:val="00B802A9"/>
    <w:rsid w:val="00B81E31"/>
    <w:rsid w:val="00B82D01"/>
    <w:rsid w:val="00B83C17"/>
    <w:rsid w:val="00B9094F"/>
    <w:rsid w:val="00B91182"/>
    <w:rsid w:val="00B96A0B"/>
    <w:rsid w:val="00BA07C3"/>
    <w:rsid w:val="00BA13C2"/>
    <w:rsid w:val="00BA157E"/>
    <w:rsid w:val="00BA1D60"/>
    <w:rsid w:val="00BA39BE"/>
    <w:rsid w:val="00BA3FB6"/>
    <w:rsid w:val="00BB021A"/>
    <w:rsid w:val="00BB4F22"/>
    <w:rsid w:val="00BB541F"/>
    <w:rsid w:val="00BC08C1"/>
    <w:rsid w:val="00BC1400"/>
    <w:rsid w:val="00BC1EC5"/>
    <w:rsid w:val="00BC4999"/>
    <w:rsid w:val="00BD091B"/>
    <w:rsid w:val="00BD1466"/>
    <w:rsid w:val="00BD3741"/>
    <w:rsid w:val="00BE2E3C"/>
    <w:rsid w:val="00BE6D47"/>
    <w:rsid w:val="00BE6F1F"/>
    <w:rsid w:val="00BE7584"/>
    <w:rsid w:val="00BF1063"/>
    <w:rsid w:val="00BF3031"/>
    <w:rsid w:val="00BF3BEF"/>
    <w:rsid w:val="00BF6771"/>
    <w:rsid w:val="00BF74FF"/>
    <w:rsid w:val="00C05214"/>
    <w:rsid w:val="00C10B7C"/>
    <w:rsid w:val="00C1127F"/>
    <w:rsid w:val="00C12A4E"/>
    <w:rsid w:val="00C15407"/>
    <w:rsid w:val="00C15B29"/>
    <w:rsid w:val="00C20494"/>
    <w:rsid w:val="00C2252B"/>
    <w:rsid w:val="00C25B50"/>
    <w:rsid w:val="00C2605E"/>
    <w:rsid w:val="00C27F86"/>
    <w:rsid w:val="00C34D02"/>
    <w:rsid w:val="00C363A8"/>
    <w:rsid w:val="00C3780A"/>
    <w:rsid w:val="00C41627"/>
    <w:rsid w:val="00C4260F"/>
    <w:rsid w:val="00C4322B"/>
    <w:rsid w:val="00C43B45"/>
    <w:rsid w:val="00C50D08"/>
    <w:rsid w:val="00C53988"/>
    <w:rsid w:val="00C5574F"/>
    <w:rsid w:val="00C56739"/>
    <w:rsid w:val="00C61D51"/>
    <w:rsid w:val="00C6379D"/>
    <w:rsid w:val="00C65597"/>
    <w:rsid w:val="00C66631"/>
    <w:rsid w:val="00C67897"/>
    <w:rsid w:val="00C708D9"/>
    <w:rsid w:val="00C70E37"/>
    <w:rsid w:val="00C70F40"/>
    <w:rsid w:val="00C73E5F"/>
    <w:rsid w:val="00C75914"/>
    <w:rsid w:val="00C75E4B"/>
    <w:rsid w:val="00C81534"/>
    <w:rsid w:val="00C8313B"/>
    <w:rsid w:val="00C8473B"/>
    <w:rsid w:val="00C9413C"/>
    <w:rsid w:val="00C9596C"/>
    <w:rsid w:val="00C95D3B"/>
    <w:rsid w:val="00CA0135"/>
    <w:rsid w:val="00CA02F5"/>
    <w:rsid w:val="00CA4C2E"/>
    <w:rsid w:val="00CA6F7C"/>
    <w:rsid w:val="00CB291E"/>
    <w:rsid w:val="00CB5EE8"/>
    <w:rsid w:val="00CB6315"/>
    <w:rsid w:val="00CB64CF"/>
    <w:rsid w:val="00CC0121"/>
    <w:rsid w:val="00CC03B0"/>
    <w:rsid w:val="00CC1131"/>
    <w:rsid w:val="00CC258F"/>
    <w:rsid w:val="00CC66D1"/>
    <w:rsid w:val="00CC7E43"/>
    <w:rsid w:val="00CD188D"/>
    <w:rsid w:val="00CD4B72"/>
    <w:rsid w:val="00CD74E1"/>
    <w:rsid w:val="00CE1305"/>
    <w:rsid w:val="00CE3120"/>
    <w:rsid w:val="00CE3B49"/>
    <w:rsid w:val="00CE5786"/>
    <w:rsid w:val="00CF00E6"/>
    <w:rsid w:val="00CF09A4"/>
    <w:rsid w:val="00CF3D55"/>
    <w:rsid w:val="00CF5B79"/>
    <w:rsid w:val="00CF7A6B"/>
    <w:rsid w:val="00D00614"/>
    <w:rsid w:val="00D037D2"/>
    <w:rsid w:val="00D040CE"/>
    <w:rsid w:val="00D06356"/>
    <w:rsid w:val="00D06F6B"/>
    <w:rsid w:val="00D07529"/>
    <w:rsid w:val="00D122E7"/>
    <w:rsid w:val="00D17AEA"/>
    <w:rsid w:val="00D20BF9"/>
    <w:rsid w:val="00D21382"/>
    <w:rsid w:val="00D21FF0"/>
    <w:rsid w:val="00D22925"/>
    <w:rsid w:val="00D23EEE"/>
    <w:rsid w:val="00D306AB"/>
    <w:rsid w:val="00D32611"/>
    <w:rsid w:val="00D33F25"/>
    <w:rsid w:val="00D370C8"/>
    <w:rsid w:val="00D37453"/>
    <w:rsid w:val="00D417CC"/>
    <w:rsid w:val="00D45D4E"/>
    <w:rsid w:val="00D50200"/>
    <w:rsid w:val="00D505BB"/>
    <w:rsid w:val="00D50DBD"/>
    <w:rsid w:val="00D51F78"/>
    <w:rsid w:val="00D5361B"/>
    <w:rsid w:val="00D61228"/>
    <w:rsid w:val="00D672F7"/>
    <w:rsid w:val="00D715BB"/>
    <w:rsid w:val="00D72F48"/>
    <w:rsid w:val="00D73138"/>
    <w:rsid w:val="00D745AB"/>
    <w:rsid w:val="00D75A73"/>
    <w:rsid w:val="00D77637"/>
    <w:rsid w:val="00DA0131"/>
    <w:rsid w:val="00DA1AA7"/>
    <w:rsid w:val="00DA28FE"/>
    <w:rsid w:val="00DA3A38"/>
    <w:rsid w:val="00DB0CC8"/>
    <w:rsid w:val="00DB0D79"/>
    <w:rsid w:val="00DB1510"/>
    <w:rsid w:val="00DB5B98"/>
    <w:rsid w:val="00DC166E"/>
    <w:rsid w:val="00DC472F"/>
    <w:rsid w:val="00DC55A5"/>
    <w:rsid w:val="00DD00B5"/>
    <w:rsid w:val="00DD0743"/>
    <w:rsid w:val="00DD0A3B"/>
    <w:rsid w:val="00DD1D05"/>
    <w:rsid w:val="00DD34EE"/>
    <w:rsid w:val="00DD46B9"/>
    <w:rsid w:val="00DD49F3"/>
    <w:rsid w:val="00DD6CA8"/>
    <w:rsid w:val="00DE4AE3"/>
    <w:rsid w:val="00DE723B"/>
    <w:rsid w:val="00DE7872"/>
    <w:rsid w:val="00DE7933"/>
    <w:rsid w:val="00DF16A6"/>
    <w:rsid w:val="00DF675F"/>
    <w:rsid w:val="00E02E7E"/>
    <w:rsid w:val="00E03568"/>
    <w:rsid w:val="00E05B43"/>
    <w:rsid w:val="00E06F5C"/>
    <w:rsid w:val="00E07E17"/>
    <w:rsid w:val="00E11496"/>
    <w:rsid w:val="00E12C76"/>
    <w:rsid w:val="00E13977"/>
    <w:rsid w:val="00E13DA7"/>
    <w:rsid w:val="00E243EA"/>
    <w:rsid w:val="00E37CD0"/>
    <w:rsid w:val="00E409DD"/>
    <w:rsid w:val="00E41FBD"/>
    <w:rsid w:val="00E426E4"/>
    <w:rsid w:val="00E44F23"/>
    <w:rsid w:val="00E460E7"/>
    <w:rsid w:val="00E46F6B"/>
    <w:rsid w:val="00E534E5"/>
    <w:rsid w:val="00E534E6"/>
    <w:rsid w:val="00E5504C"/>
    <w:rsid w:val="00E60E3B"/>
    <w:rsid w:val="00E64261"/>
    <w:rsid w:val="00E64EFC"/>
    <w:rsid w:val="00E708B2"/>
    <w:rsid w:val="00E715DE"/>
    <w:rsid w:val="00E74AB7"/>
    <w:rsid w:val="00E815B3"/>
    <w:rsid w:val="00E82BAD"/>
    <w:rsid w:val="00E9096D"/>
    <w:rsid w:val="00E93384"/>
    <w:rsid w:val="00E955AE"/>
    <w:rsid w:val="00EA4CD4"/>
    <w:rsid w:val="00EB0170"/>
    <w:rsid w:val="00EC07B2"/>
    <w:rsid w:val="00EC1D3F"/>
    <w:rsid w:val="00EC264F"/>
    <w:rsid w:val="00EC27B2"/>
    <w:rsid w:val="00EC2B0E"/>
    <w:rsid w:val="00EC2D62"/>
    <w:rsid w:val="00EC55AA"/>
    <w:rsid w:val="00EC611C"/>
    <w:rsid w:val="00ED09D9"/>
    <w:rsid w:val="00ED11D1"/>
    <w:rsid w:val="00ED2F80"/>
    <w:rsid w:val="00ED38A8"/>
    <w:rsid w:val="00ED3E00"/>
    <w:rsid w:val="00ED6628"/>
    <w:rsid w:val="00EE22EF"/>
    <w:rsid w:val="00EE4BF0"/>
    <w:rsid w:val="00EE735D"/>
    <w:rsid w:val="00EF4C9F"/>
    <w:rsid w:val="00EF4CD5"/>
    <w:rsid w:val="00EF5A63"/>
    <w:rsid w:val="00F07A5F"/>
    <w:rsid w:val="00F10AA9"/>
    <w:rsid w:val="00F114E8"/>
    <w:rsid w:val="00F13D85"/>
    <w:rsid w:val="00F15760"/>
    <w:rsid w:val="00F16CB6"/>
    <w:rsid w:val="00F173E6"/>
    <w:rsid w:val="00F27C8E"/>
    <w:rsid w:val="00F347CB"/>
    <w:rsid w:val="00F358C8"/>
    <w:rsid w:val="00F40444"/>
    <w:rsid w:val="00F4141C"/>
    <w:rsid w:val="00F45A55"/>
    <w:rsid w:val="00F46E1C"/>
    <w:rsid w:val="00F47682"/>
    <w:rsid w:val="00F54A9B"/>
    <w:rsid w:val="00F55D88"/>
    <w:rsid w:val="00F607E2"/>
    <w:rsid w:val="00F62330"/>
    <w:rsid w:val="00F72082"/>
    <w:rsid w:val="00F72CE3"/>
    <w:rsid w:val="00F7445D"/>
    <w:rsid w:val="00F756A6"/>
    <w:rsid w:val="00F776E9"/>
    <w:rsid w:val="00F77C6F"/>
    <w:rsid w:val="00F85978"/>
    <w:rsid w:val="00F916FB"/>
    <w:rsid w:val="00F931E0"/>
    <w:rsid w:val="00F93B85"/>
    <w:rsid w:val="00F94E93"/>
    <w:rsid w:val="00F963E1"/>
    <w:rsid w:val="00F96823"/>
    <w:rsid w:val="00FA21A8"/>
    <w:rsid w:val="00FA4B1F"/>
    <w:rsid w:val="00FA71BF"/>
    <w:rsid w:val="00FB066A"/>
    <w:rsid w:val="00FB6348"/>
    <w:rsid w:val="00FB663D"/>
    <w:rsid w:val="00FC117D"/>
    <w:rsid w:val="00FC2466"/>
    <w:rsid w:val="00FC3825"/>
    <w:rsid w:val="00FC5621"/>
    <w:rsid w:val="00FC7129"/>
    <w:rsid w:val="00FC791C"/>
    <w:rsid w:val="00FD0140"/>
    <w:rsid w:val="00FD0ED5"/>
    <w:rsid w:val="00FD1C47"/>
    <w:rsid w:val="00FD6C15"/>
    <w:rsid w:val="00FE3C57"/>
    <w:rsid w:val="00FE689F"/>
    <w:rsid w:val="00FF0BE1"/>
    <w:rsid w:val="00FF2809"/>
    <w:rsid w:val="00FF5B98"/>
    <w:rsid w:val="00FF6C45"/>
    <w:rsid w:val="00FF700F"/>
    <w:rsid w:val="08A83D70"/>
    <w:rsid w:val="0C41C132"/>
    <w:rsid w:val="187E330B"/>
    <w:rsid w:val="2324E0A2"/>
    <w:rsid w:val="27426F2A"/>
    <w:rsid w:val="3AF87183"/>
    <w:rsid w:val="43F9FB6A"/>
    <w:rsid w:val="4E327204"/>
    <w:rsid w:val="51E91588"/>
    <w:rsid w:val="57C95748"/>
    <w:rsid w:val="60235F37"/>
    <w:rsid w:val="632F7A37"/>
    <w:rsid w:val="693C4BCE"/>
    <w:rsid w:val="6D1E89D6"/>
    <w:rsid w:val="74B0994E"/>
    <w:rsid w:val="78EF8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0ED9E3"/>
  <w15:docId w15:val="{5D53FC15-9D95-42F8-80C1-B9D30BE0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3E5F"/>
    <w:rPr>
      <w:rFonts w:ascii="Franklin Gothic Book" w:eastAsia="Times New Roman" w:hAnsi="Franklin Gothic Book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rsid w:val="00C73E5F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3E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73E5F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rsid w:val="003A6466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386F57"/>
    <w:rPr>
      <w:color w:val="0000FF" w:themeColor="hyperlink"/>
      <w:u w:val="single"/>
    </w:rPr>
  </w:style>
  <w:style w:type="character" w:styleId="HTMLAkronym">
    <w:name w:val="HTML Acronym"/>
    <w:basedOn w:val="Absatz-Standardschriftart"/>
    <w:uiPriority w:val="99"/>
    <w:semiHidden/>
    <w:unhideWhenUsed/>
    <w:rsid w:val="001A0352"/>
  </w:style>
  <w:style w:type="paragraph" w:customStyle="1" w:styleId="Text">
    <w:name w:val="Text"/>
    <w:basedOn w:val="Standard"/>
    <w:rsid w:val="00ED11D1"/>
    <w:pPr>
      <w:tabs>
        <w:tab w:val="left" w:pos="5535"/>
      </w:tabs>
      <w:spacing w:line="280" w:lineRule="exact"/>
      <w:ind w:right="1021"/>
    </w:pPr>
    <w:rPr>
      <w:rFonts w:ascii="Arial" w:hAnsi="Arial" w:cs="Arial"/>
      <w:szCs w:val="20"/>
    </w:rPr>
  </w:style>
  <w:style w:type="paragraph" w:styleId="KeinLeerraum">
    <w:name w:val="No Spacing"/>
    <w:uiPriority w:val="1"/>
    <w:qFormat/>
    <w:rsid w:val="00B03708"/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B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4B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4B88"/>
    <w:rPr>
      <w:rFonts w:ascii="Franklin Gothic Book" w:eastAsia="Times New Roman" w:hAnsi="Franklin Gothic Book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B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B88"/>
    <w:rPr>
      <w:rFonts w:ascii="Franklin Gothic Book" w:eastAsia="Times New Roman" w:hAnsi="Franklin Gothic Book"/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B631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B6315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7A5F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locked/>
    <w:rsid w:val="00102F6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233B84"/>
    <w:rPr>
      <w:b/>
      <w:bCs/>
    </w:rPr>
  </w:style>
  <w:style w:type="paragraph" w:styleId="berarbeitung">
    <w:name w:val="Revision"/>
    <w:hidden/>
    <w:uiPriority w:val="99"/>
    <w:semiHidden/>
    <w:rsid w:val="00BB541F"/>
    <w:rPr>
      <w:rFonts w:ascii="Franklin Gothic Book" w:eastAsia="Times New Roman" w:hAnsi="Franklin Gothic Book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rto.com/en/insights/results-from-the-risk-resilience-study-2026/?utm_campaign=procurement-excellence&amp;utm_source=press&amp;utm_medium=-&amp;utm_content=risk-manage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inverto.de/index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7C078-0B44-49F7-AAED-1AAB1313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6248</Characters>
  <Application>Microsoft Office Word</Application>
  <DocSecurity>0</DocSecurity>
  <Lines>52</Lines>
  <Paragraphs>14</Paragraphs>
  <ScaleCrop>false</ScaleCrop>
  <Company>INVERTO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DE</dc:title>
  <dc:subject/>
  <dc:creator>Ina Ullrich</dc:creator>
  <cp:keywords/>
  <cp:lastModifiedBy>Ina Ullrich</cp:lastModifiedBy>
  <cp:revision>4</cp:revision>
  <cp:lastPrinted>2018-04-11T16:34:00Z</cp:lastPrinted>
  <dcterms:created xsi:type="dcterms:W3CDTF">2026-06-12T15:34:00Z</dcterms:created>
  <dcterms:modified xsi:type="dcterms:W3CDTF">2026-06-12T15:37:00Z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6d61cc2c4f47424c6b57f3f83549f1a12bc5800e0bca36d83f670d258fccebe1</vt:lpwstr>
  </property>
  <property fmtid="{D5CDD505-2E9C-101B-9397-08002B2CF9AE}" pid="3" name="MSIP_Label_b0d5c4f4-7a29-4385-b7a5-afbe2154ae6f_Enabled">
    <vt:lpwstr>true</vt:lpwstr>
  </property>
  <property fmtid="{D5CDD505-2E9C-101B-9397-08002B2CF9AE}" pid="4" name="MSIP_Label_b0d5c4f4-7a29-4385-b7a5-afbe2154ae6f_SetDate">
    <vt:lpwstr>2025-01-23T16:54:08Z</vt:lpwstr>
  </property>
  <property fmtid="{D5CDD505-2E9C-101B-9397-08002B2CF9AE}" pid="5" name="MSIP_Label_b0d5c4f4-7a29-4385-b7a5-afbe2154ae6f_Method">
    <vt:lpwstr>Standard</vt:lpwstr>
  </property>
  <property fmtid="{D5CDD505-2E9C-101B-9397-08002B2CF9AE}" pid="6" name="MSIP_Label_b0d5c4f4-7a29-4385-b7a5-afbe2154ae6f_Name">
    <vt:lpwstr>Confidential</vt:lpwstr>
  </property>
  <property fmtid="{D5CDD505-2E9C-101B-9397-08002B2CF9AE}" pid="7" name="MSIP_Label_b0d5c4f4-7a29-4385-b7a5-afbe2154ae6f_SiteId">
    <vt:lpwstr>2dfb2f0b-4d21-4268-9559-72926144c918</vt:lpwstr>
  </property>
  <property fmtid="{D5CDD505-2E9C-101B-9397-08002B2CF9AE}" pid="8" name="MSIP_Label_b0d5c4f4-7a29-4385-b7a5-afbe2154ae6f_ActionId">
    <vt:lpwstr>7e2de352-7765-413c-953c-72d1d7b68126</vt:lpwstr>
  </property>
  <property fmtid="{D5CDD505-2E9C-101B-9397-08002B2CF9AE}" pid="9" name="MSIP_Label_b0d5c4f4-7a29-4385-b7a5-afbe2154ae6f_ContentBits">
    <vt:lpwstr>0</vt:lpwstr>
  </property>
</Properties>
</file>