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1BA59" w14:textId="0443CBBD" w:rsidR="00D76433" w:rsidRPr="00093699" w:rsidRDefault="00093699" w:rsidP="00093699">
      <w:pPr>
        <w:pStyle w:val="NormalWeb"/>
        <w:spacing w:line="276" w:lineRule="auto"/>
        <w:ind w:right="-567"/>
        <w:jc w:val="center"/>
        <w:textAlignment w:val="baseline"/>
        <w:rPr>
          <w:rFonts w:ascii="Sora" w:hAnsi="Sora" w:cs="Sora"/>
          <w:b/>
          <w:bCs/>
          <w:color w:val="000000"/>
          <w:sz w:val="30"/>
          <w:szCs w:val="32"/>
          <w:lang w:val="en-GB"/>
        </w:rPr>
      </w:pPr>
      <w:bookmarkStart w:id="0" w:name="_Hlk534903597"/>
      <w:bookmarkStart w:id="1" w:name="_Hlk188884993"/>
      <w:r w:rsidRPr="00093699">
        <w:rPr>
          <w:rFonts w:ascii="Sora" w:hAnsi="Sora" w:cs="Sora"/>
          <w:b/>
          <w:bCs/>
          <w:sz w:val="32"/>
          <w:szCs w:val="32"/>
          <w:lang w:val="en-GB"/>
        </w:rPr>
        <w:t>Tariffs – how to deal with the crisis, steps that businesses need to take now</w:t>
      </w:r>
    </w:p>
    <w:bookmarkEnd w:id="0"/>
    <w:p w14:paraId="11919639" w14:textId="3422B072" w:rsidR="00093699" w:rsidRPr="00093699" w:rsidRDefault="00D76433" w:rsidP="00093699">
      <w:pPr>
        <w:pStyle w:val="NormalWeb"/>
        <w:spacing w:before="0" w:beforeAutospacing="0" w:after="0" w:afterAutospacing="0" w:line="276" w:lineRule="auto"/>
        <w:ind w:right="-567"/>
        <w:textAlignment w:val="baseline"/>
        <w:rPr>
          <w:rFonts w:ascii="Sora" w:hAnsi="Sora" w:cs="Sora"/>
          <w:color w:val="000000"/>
          <w:sz w:val="22"/>
          <w:szCs w:val="22"/>
          <w:lang w:val="en-GB"/>
        </w:rPr>
      </w:pPr>
      <w:r w:rsidRPr="00A5075D">
        <w:rPr>
          <w:rFonts w:ascii="Sora" w:hAnsi="Sora" w:cs="Sora"/>
          <w:b/>
          <w:bCs/>
          <w:color w:val="000000"/>
          <w:sz w:val="22"/>
          <w:lang w:val="en-GB"/>
        </w:rPr>
        <w:t xml:space="preserve">LONDON, </w:t>
      </w:r>
      <w:r w:rsidR="00093699">
        <w:rPr>
          <w:rFonts w:ascii="Sora" w:hAnsi="Sora" w:cs="Sora"/>
          <w:b/>
          <w:bCs/>
          <w:color w:val="000000"/>
          <w:sz w:val="22"/>
          <w:lang w:val="en-GB"/>
        </w:rPr>
        <w:t>April 10</w:t>
      </w:r>
      <w:r w:rsidRPr="00A5075D">
        <w:rPr>
          <w:rFonts w:ascii="Sora" w:hAnsi="Sora" w:cs="Sora"/>
          <w:b/>
          <w:bCs/>
          <w:color w:val="000000"/>
          <w:sz w:val="22"/>
          <w:lang w:val="en-GB"/>
        </w:rPr>
        <w:t>, 2025 –</w:t>
      </w:r>
      <w:r w:rsidRPr="00A5075D">
        <w:rPr>
          <w:rFonts w:ascii="Sora" w:hAnsi="Sora" w:cs="Sora"/>
          <w:color w:val="000000"/>
          <w:sz w:val="22"/>
          <w:lang w:val="en-GB"/>
        </w:rPr>
        <w:t xml:space="preserve"> </w:t>
      </w:r>
      <w:r w:rsidR="00093699" w:rsidRPr="00093699">
        <w:rPr>
          <w:rFonts w:ascii="Sora" w:hAnsi="Sora" w:cs="Sora"/>
          <w:sz w:val="22"/>
          <w:szCs w:val="22"/>
          <w:lang w:val="en-GB"/>
        </w:rPr>
        <w:t xml:space="preserve">Patrick Lepperhoff and Stéphane </w:t>
      </w:r>
      <w:proofErr w:type="spellStart"/>
      <w:r w:rsidR="00093699" w:rsidRPr="00093699">
        <w:rPr>
          <w:rFonts w:ascii="Sora" w:hAnsi="Sora" w:cs="Sora"/>
          <w:sz w:val="22"/>
          <w:szCs w:val="22"/>
          <w:lang w:val="en-GB"/>
        </w:rPr>
        <w:t>Crosnier</w:t>
      </w:r>
      <w:proofErr w:type="spellEnd"/>
      <w:r w:rsidR="00093699" w:rsidRPr="00093699">
        <w:rPr>
          <w:rFonts w:ascii="Sora" w:hAnsi="Sora" w:cs="Sora"/>
          <w:sz w:val="22"/>
          <w:szCs w:val="22"/>
          <w:lang w:val="en-GB"/>
        </w:rPr>
        <w:t xml:space="preserve"> of management consultancy Inverto, part of Boston Consulting Group, explain why the tariff changes are been seen by corporates as a boardroom level crisis and what companies should be doing next.</w:t>
      </w:r>
    </w:p>
    <w:p w14:paraId="193CC3AE"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4B2B9BD0"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Says Patrick Lepperhoff, Managing Director, of Inverto: “According to recent analysis, some companies could face a major drop in EBIT margins if no action is taken (up to a 68% fall in EBIT in simulations conducted on sample companies) if no action is taken. Tariffs are no longer a theoretical threat”</w:t>
      </w:r>
    </w:p>
    <w:p w14:paraId="63055DD7"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5FEDF4CB"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Adds Stéphane Crosnier, Managing Director, of Inverto: “The challenge now is not simply to react, but to adapt. The companies that will emerge stronger are those that take a deliberate approach to building tariff-resilient supply chains.”</w:t>
      </w:r>
    </w:p>
    <w:p w14:paraId="46D4FAF8"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73ACD328"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“The first step is to understand your risk profile—fast.”</w:t>
      </w:r>
    </w:p>
    <w:p w14:paraId="482DA848"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1A9DAAA6" w14:textId="77777777" w:rsidR="00093699" w:rsidRPr="00093699" w:rsidRDefault="00093699" w:rsidP="00093699">
      <w:pPr>
        <w:numPr>
          <w:ilvl w:val="0"/>
          <w:numId w:val="3"/>
        </w:numPr>
        <w:autoSpaceDE w:val="0"/>
        <w:autoSpaceDN w:val="0"/>
        <w:rPr>
          <w:rFonts w:ascii="Sora" w:hAnsi="Sora" w:cs="Sora"/>
          <w:szCs w:val="22"/>
          <w:lang w:val="en-GB"/>
        </w:rPr>
      </w:pPr>
      <w:bookmarkStart w:id="2" w:name="_Hlk194924147"/>
      <w:bookmarkEnd w:id="2"/>
      <w:r w:rsidRPr="00093699">
        <w:rPr>
          <w:rFonts w:ascii="Sora" w:hAnsi="Sora" w:cs="Sora"/>
          <w:szCs w:val="22"/>
          <w:lang w:val="en-GB"/>
        </w:rPr>
        <w:t>Establish a Tariff Impact Command Centre to monitor developments and coordinate action across procurement, logistics, finance, and legal.</w:t>
      </w:r>
    </w:p>
    <w:p w14:paraId="2DA869A3" w14:textId="77777777" w:rsidR="00093699" w:rsidRPr="00093699" w:rsidRDefault="00093699" w:rsidP="00093699">
      <w:pPr>
        <w:numPr>
          <w:ilvl w:val="0"/>
          <w:numId w:val="3"/>
        </w:numPr>
        <w:autoSpaceDE w:val="0"/>
        <w:autoSpaceDN w:val="0"/>
        <w:rPr>
          <w:rFonts w:ascii="Sora" w:hAnsi="Sora" w:cs="Sora"/>
          <w:szCs w:val="22"/>
          <w:lang w:val="en-GB"/>
        </w:rPr>
      </w:pPr>
      <w:r w:rsidRPr="00093699">
        <w:rPr>
          <w:rFonts w:ascii="Sora" w:hAnsi="Sora" w:cs="Sora"/>
          <w:szCs w:val="22"/>
          <w:lang w:val="en-GB"/>
        </w:rPr>
        <w:t>Engage in creating visibility of second and third tier suppliers to identify the hidden risks you may have to tariff increases</w:t>
      </w:r>
    </w:p>
    <w:p w14:paraId="30E9690F" w14:textId="77777777" w:rsidR="00093699" w:rsidRPr="00093699" w:rsidRDefault="00093699" w:rsidP="00093699">
      <w:pPr>
        <w:numPr>
          <w:ilvl w:val="0"/>
          <w:numId w:val="3"/>
        </w:numPr>
        <w:autoSpaceDE w:val="0"/>
        <w:autoSpaceDN w:val="0"/>
        <w:rPr>
          <w:rFonts w:ascii="Sora" w:hAnsi="Sora" w:cs="Sora"/>
          <w:szCs w:val="22"/>
          <w:lang w:val="en-GB"/>
        </w:rPr>
      </w:pPr>
      <w:r w:rsidRPr="00093699">
        <w:rPr>
          <w:rFonts w:ascii="Sora" w:hAnsi="Sora" w:cs="Sora"/>
          <w:szCs w:val="22"/>
          <w:lang w:val="en-GB"/>
        </w:rPr>
        <w:t>Deploy a Trade Tariff Simulator - to visualize exposure across suppliers, categories, and countries. This helps identify sources of profit margin destruction and high-risk trade routes.</w:t>
      </w:r>
    </w:p>
    <w:p w14:paraId="05702BEF" w14:textId="77777777" w:rsidR="00093699" w:rsidRPr="00093699" w:rsidRDefault="00093699" w:rsidP="00093699">
      <w:pPr>
        <w:numPr>
          <w:ilvl w:val="0"/>
          <w:numId w:val="3"/>
        </w:numPr>
        <w:autoSpaceDE w:val="0"/>
        <w:autoSpaceDN w:val="0"/>
        <w:rPr>
          <w:rFonts w:ascii="Sora" w:hAnsi="Sora" w:cs="Sora"/>
          <w:szCs w:val="22"/>
          <w:lang w:val="en-GB"/>
        </w:rPr>
      </w:pPr>
      <w:r w:rsidRPr="00093699">
        <w:rPr>
          <w:rFonts w:ascii="Sora" w:hAnsi="Sora" w:cs="Sora"/>
          <w:szCs w:val="22"/>
          <w:lang w:val="en-GB"/>
        </w:rPr>
        <w:t>Join forces with your suppliers to understand their exposure and mitigation strategies.</w:t>
      </w:r>
    </w:p>
    <w:p w14:paraId="3B522E3D" w14:textId="77777777" w:rsidR="00093699" w:rsidRPr="00093699" w:rsidRDefault="00093699" w:rsidP="00093699">
      <w:pPr>
        <w:numPr>
          <w:ilvl w:val="0"/>
          <w:numId w:val="3"/>
        </w:numPr>
        <w:autoSpaceDE w:val="0"/>
        <w:autoSpaceDN w:val="0"/>
        <w:rPr>
          <w:rFonts w:ascii="Sora" w:hAnsi="Sora" w:cs="Sora"/>
          <w:szCs w:val="22"/>
          <w:lang w:val="en-GB"/>
        </w:rPr>
      </w:pPr>
      <w:r w:rsidRPr="00093699">
        <w:rPr>
          <w:rFonts w:ascii="Sora" w:hAnsi="Sora" w:cs="Sora"/>
          <w:szCs w:val="22"/>
          <w:lang w:val="en-GB"/>
        </w:rPr>
        <w:t>Gain transparency on second-source options for critical materials and components that will allow you to reduce tariff risks</w:t>
      </w:r>
    </w:p>
    <w:p w14:paraId="5AC4BFC3" w14:textId="77777777" w:rsidR="00093699" w:rsidRPr="00093699" w:rsidRDefault="00093699" w:rsidP="00093699">
      <w:pPr>
        <w:numPr>
          <w:ilvl w:val="0"/>
          <w:numId w:val="3"/>
        </w:numPr>
        <w:autoSpaceDE w:val="0"/>
        <w:autoSpaceDN w:val="0"/>
        <w:rPr>
          <w:rFonts w:ascii="Sora" w:hAnsi="Sora" w:cs="Sora"/>
          <w:szCs w:val="22"/>
          <w:lang w:val="en-GB"/>
        </w:rPr>
      </w:pPr>
      <w:r w:rsidRPr="00093699">
        <w:rPr>
          <w:rFonts w:ascii="Sora" w:hAnsi="Sora" w:cs="Sora"/>
          <w:szCs w:val="22"/>
          <w:lang w:val="en-GB"/>
        </w:rPr>
        <w:t>Explore tariff engineering levers—such as reclassification or the First Sale Rule  to reduce immediate cost exposure.</w:t>
      </w:r>
    </w:p>
    <w:p w14:paraId="48FD815E" w14:textId="77777777" w:rsidR="00093699" w:rsidRPr="00093699" w:rsidRDefault="00093699" w:rsidP="00093699">
      <w:pPr>
        <w:numPr>
          <w:ilvl w:val="0"/>
          <w:numId w:val="3"/>
        </w:numPr>
        <w:autoSpaceDE w:val="0"/>
        <w:autoSpaceDN w:val="0"/>
        <w:rPr>
          <w:rFonts w:ascii="Sora" w:hAnsi="Sora" w:cs="Sora"/>
          <w:szCs w:val="22"/>
          <w:lang w:val="en-GB"/>
        </w:rPr>
      </w:pPr>
      <w:r w:rsidRPr="00093699">
        <w:rPr>
          <w:rFonts w:ascii="Sora" w:hAnsi="Sora" w:cs="Sora"/>
          <w:szCs w:val="22"/>
          <w:lang w:val="en-GB"/>
        </w:rPr>
        <w:t>Begin scenario modelling to test the resilience of your current footprint against different tariff regimes.</w:t>
      </w:r>
    </w:p>
    <w:p w14:paraId="4058D1B5"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2A71EF70"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Says Patrick Lepperhoff: “It is crucial now to buy time without bleeding too much margin as well as understanding where to start tariff mitigation activities for maximum impact.”</w:t>
      </w:r>
    </w:p>
    <w:p w14:paraId="6FFB57A1"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185DA152"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“Now that you are clear as to where your most critical vulnerabilities lie, the next step is to strengthen your supply chain.”</w:t>
      </w:r>
    </w:p>
    <w:p w14:paraId="5B027492"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083EDE35" w14:textId="77777777" w:rsidR="00093699" w:rsidRPr="00093699" w:rsidRDefault="00093699" w:rsidP="00093699">
      <w:pPr>
        <w:numPr>
          <w:ilvl w:val="0"/>
          <w:numId w:val="4"/>
        </w:numPr>
        <w:autoSpaceDE w:val="0"/>
        <w:autoSpaceDN w:val="0"/>
        <w:rPr>
          <w:rFonts w:ascii="Sora" w:hAnsi="Sora" w:cs="Sora"/>
          <w:szCs w:val="22"/>
          <w:lang w:val="en-GB"/>
        </w:rPr>
      </w:pPr>
      <w:r w:rsidRPr="00093699">
        <w:rPr>
          <w:rFonts w:ascii="Sora" w:hAnsi="Sora" w:cs="Sora"/>
          <w:szCs w:val="22"/>
          <w:lang w:val="en-GB"/>
        </w:rPr>
        <w:lastRenderedPageBreak/>
        <w:t>Diversify your suppliers of critical commodities across geographies so as to create alternatives to your current supply chain.</w:t>
      </w:r>
    </w:p>
    <w:p w14:paraId="6EDF5092" w14:textId="77777777" w:rsidR="00093699" w:rsidRPr="00093699" w:rsidRDefault="00093699" w:rsidP="00093699">
      <w:pPr>
        <w:numPr>
          <w:ilvl w:val="0"/>
          <w:numId w:val="4"/>
        </w:numPr>
        <w:autoSpaceDE w:val="0"/>
        <w:autoSpaceDN w:val="0"/>
        <w:rPr>
          <w:rFonts w:ascii="Sora" w:hAnsi="Sora" w:cs="Sora"/>
          <w:szCs w:val="22"/>
          <w:lang w:val="en-GB"/>
        </w:rPr>
      </w:pPr>
      <w:r w:rsidRPr="00093699">
        <w:rPr>
          <w:rFonts w:ascii="Sora" w:hAnsi="Sora" w:cs="Sora"/>
          <w:szCs w:val="22"/>
          <w:lang w:val="en-GB"/>
        </w:rPr>
        <w:t>Don’t delay as there will be a first-mover advantage. Those organisations that adapt their supply chains quickly to take advantage of lower tariffs for certain countries will secure scarce capacity. Conversely, those that wait could be locked out until supply eventually catches up with demand that has been rerouted to lower tariff countries</w:t>
      </w:r>
    </w:p>
    <w:p w14:paraId="0822EF86" w14:textId="77777777" w:rsidR="00093699" w:rsidRPr="00093699" w:rsidRDefault="00093699" w:rsidP="00093699">
      <w:pPr>
        <w:numPr>
          <w:ilvl w:val="0"/>
          <w:numId w:val="4"/>
        </w:numPr>
        <w:autoSpaceDE w:val="0"/>
        <w:autoSpaceDN w:val="0"/>
        <w:rPr>
          <w:rFonts w:ascii="Sora" w:hAnsi="Sora" w:cs="Sora"/>
          <w:szCs w:val="22"/>
          <w:lang w:val="en-GB"/>
        </w:rPr>
      </w:pPr>
      <w:r w:rsidRPr="00093699">
        <w:rPr>
          <w:rFonts w:ascii="Sora" w:hAnsi="Sora" w:cs="Sora"/>
          <w:szCs w:val="22"/>
          <w:lang w:val="en-GB"/>
        </w:rPr>
        <w:t>Re- or nearshore production to more stable tariff environments where feasible.</w:t>
      </w:r>
    </w:p>
    <w:p w14:paraId="3F4B8C2C" w14:textId="77777777" w:rsidR="00093699" w:rsidRPr="00093699" w:rsidRDefault="00093699" w:rsidP="00093699">
      <w:pPr>
        <w:numPr>
          <w:ilvl w:val="0"/>
          <w:numId w:val="4"/>
        </w:numPr>
        <w:autoSpaceDE w:val="0"/>
        <w:autoSpaceDN w:val="0"/>
        <w:rPr>
          <w:rFonts w:ascii="Sora" w:hAnsi="Sora" w:cs="Sora"/>
          <w:szCs w:val="22"/>
          <w:lang w:val="en-GB"/>
        </w:rPr>
      </w:pPr>
      <w:r w:rsidRPr="00093699">
        <w:rPr>
          <w:rFonts w:ascii="Sora" w:hAnsi="Sora" w:cs="Sora"/>
          <w:szCs w:val="22"/>
          <w:lang w:val="en-GB"/>
        </w:rPr>
        <w:t>Begin certifying alternative suppliers and evaluate cost-benefit trade-offs for switching.</w:t>
      </w:r>
    </w:p>
    <w:p w14:paraId="504D3911" w14:textId="77777777" w:rsidR="00093699" w:rsidRPr="00093699" w:rsidRDefault="00093699" w:rsidP="00093699">
      <w:pPr>
        <w:numPr>
          <w:ilvl w:val="0"/>
          <w:numId w:val="4"/>
        </w:numPr>
        <w:autoSpaceDE w:val="0"/>
        <w:autoSpaceDN w:val="0"/>
        <w:rPr>
          <w:rFonts w:ascii="Sora" w:hAnsi="Sora" w:cs="Sora"/>
          <w:szCs w:val="22"/>
          <w:lang w:val="en-GB"/>
        </w:rPr>
      </w:pPr>
      <w:r w:rsidRPr="00093699">
        <w:rPr>
          <w:rFonts w:ascii="Sora" w:hAnsi="Sora" w:cs="Sora"/>
          <w:szCs w:val="22"/>
          <w:lang w:val="en-GB"/>
        </w:rPr>
        <w:t>Adjust product specifications or packaging to mitigate classification-based duties.</w:t>
      </w:r>
    </w:p>
    <w:p w14:paraId="3D932D26" w14:textId="77777777" w:rsidR="00093699" w:rsidRPr="00093699" w:rsidRDefault="00093699" w:rsidP="00093699">
      <w:pPr>
        <w:numPr>
          <w:ilvl w:val="0"/>
          <w:numId w:val="4"/>
        </w:numPr>
        <w:autoSpaceDE w:val="0"/>
        <w:autoSpaceDN w:val="0"/>
        <w:rPr>
          <w:rFonts w:ascii="Sora" w:hAnsi="Sora" w:cs="Sora"/>
          <w:szCs w:val="22"/>
          <w:lang w:val="en-GB"/>
        </w:rPr>
      </w:pPr>
      <w:r w:rsidRPr="00093699">
        <w:rPr>
          <w:rFonts w:ascii="Sora" w:hAnsi="Sora" w:cs="Sora"/>
          <w:szCs w:val="22"/>
          <w:lang w:val="en-GB"/>
        </w:rPr>
        <w:t>Continue using simulation to model the impact of these mitigating actions in protecting EBIT.</w:t>
      </w:r>
    </w:p>
    <w:p w14:paraId="5237DAD4" w14:textId="77777777"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 </w:t>
      </w:r>
    </w:p>
    <w:p w14:paraId="03F22FFB" w14:textId="43D2D08E" w:rsidR="00093699" w:rsidRPr="00093699" w:rsidRDefault="00093699" w:rsidP="00093699">
      <w:pPr>
        <w:autoSpaceDE w:val="0"/>
        <w:autoSpaceDN w:val="0"/>
        <w:rPr>
          <w:rFonts w:ascii="Sora" w:hAnsi="Sora" w:cs="Sora"/>
          <w:szCs w:val="22"/>
          <w:lang w:val="en-GB"/>
        </w:rPr>
      </w:pPr>
      <w:r w:rsidRPr="00093699">
        <w:rPr>
          <w:rFonts w:ascii="Sora" w:hAnsi="Sora" w:cs="Sora"/>
          <w:szCs w:val="22"/>
          <w:lang w:val="en-GB"/>
        </w:rPr>
        <w:t>This is where structural resilience begins to take shape, having focused constrained management resources where it matters most.</w:t>
      </w:r>
    </w:p>
    <w:p w14:paraId="6C3B0FA6" w14:textId="77777777" w:rsidR="00093699" w:rsidRPr="00093699" w:rsidRDefault="00093699" w:rsidP="00D76433">
      <w:pPr>
        <w:autoSpaceDE w:val="0"/>
        <w:autoSpaceDN w:val="0"/>
        <w:rPr>
          <w:rFonts w:ascii="Sora" w:hAnsi="Sora" w:cs="Sora"/>
          <w:b/>
          <w:bCs/>
          <w:szCs w:val="22"/>
          <w:lang w:val="en-GB"/>
        </w:rPr>
      </w:pPr>
    </w:p>
    <w:p w14:paraId="071473C0" w14:textId="77777777" w:rsidR="00D76433" w:rsidRPr="00093699" w:rsidRDefault="00D76433" w:rsidP="00D76433">
      <w:pPr>
        <w:autoSpaceDE w:val="0"/>
        <w:autoSpaceDN w:val="0"/>
        <w:rPr>
          <w:rFonts w:ascii="Sora" w:hAnsi="Sora" w:cs="Sora"/>
          <w:b/>
          <w:bCs/>
          <w:szCs w:val="22"/>
          <w:lang w:val="en-GB"/>
        </w:rPr>
      </w:pPr>
      <w:r w:rsidRPr="00093699">
        <w:rPr>
          <w:rFonts w:ascii="Sora" w:hAnsi="Sora" w:cs="Sora"/>
          <w:b/>
          <w:bCs/>
          <w:szCs w:val="22"/>
          <w:lang w:val="en-GB"/>
        </w:rPr>
        <w:t>About Inverto</w:t>
      </w:r>
    </w:p>
    <w:p w14:paraId="36A94DDD" w14:textId="77777777" w:rsidR="00D76433" w:rsidRPr="00093699" w:rsidRDefault="00D76433" w:rsidP="00D76433">
      <w:pPr>
        <w:autoSpaceDE w:val="0"/>
        <w:autoSpaceDN w:val="0"/>
        <w:rPr>
          <w:rFonts w:ascii="Sora" w:hAnsi="Sora" w:cs="Sora"/>
          <w:szCs w:val="22"/>
          <w:lang w:val="en-GB"/>
        </w:rPr>
      </w:pPr>
      <w:r w:rsidRPr="00093699">
        <w:rPr>
          <w:rFonts w:ascii="Sora" w:hAnsi="Sora" w:cs="Sora"/>
          <w:szCs w:val="22"/>
          <w:lang w:val="en-GB"/>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181CEB35" w14:textId="77777777" w:rsidR="00D76433" w:rsidRPr="00093699" w:rsidRDefault="00D76433" w:rsidP="00D76433">
      <w:pPr>
        <w:autoSpaceDE w:val="0"/>
        <w:autoSpaceDN w:val="0"/>
        <w:rPr>
          <w:rFonts w:ascii="Sora" w:hAnsi="Sora" w:cs="Sora"/>
          <w:szCs w:val="22"/>
          <w:lang w:val="en-GB"/>
        </w:rPr>
      </w:pPr>
    </w:p>
    <w:p w14:paraId="1A2E7C04" w14:textId="77777777" w:rsidR="000C7B2D" w:rsidRPr="00A5075D" w:rsidRDefault="000C7B2D" w:rsidP="000C7B2D">
      <w:pPr>
        <w:autoSpaceDE w:val="0"/>
        <w:autoSpaceDN w:val="0"/>
        <w:rPr>
          <w:rFonts w:ascii="Sora" w:hAnsi="Sora" w:cs="Sora"/>
          <w:lang w:val="en-GB"/>
        </w:rPr>
      </w:pPr>
      <w:r w:rsidRPr="00A5075D">
        <w:rPr>
          <w:rFonts w:ascii="Sora" w:hAnsi="Sora" w:cs="Sora"/>
          <w:lang w:val="en-US"/>
        </w:rPr>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Pr>
          <w:rFonts w:ascii="Sora" w:hAnsi="Sora" w:cs="Sora"/>
          <w:lang w:val="en-GB"/>
        </w:rPr>
        <w:t>7</w:t>
      </w:r>
      <w:r w:rsidRPr="00A5075D">
        <w:rPr>
          <w:rFonts w:ascii="Sora" w:hAnsi="Sora" w:cs="Sora"/>
          <w:lang w:val="en-GB"/>
        </w:rPr>
        <w:t xml:space="preserve">00 experts across </w:t>
      </w:r>
      <w:r>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21B7D1A3" w14:textId="77777777" w:rsidR="00D76433" w:rsidRPr="00093699" w:rsidRDefault="00D76433" w:rsidP="00D76433">
      <w:pPr>
        <w:autoSpaceDE w:val="0"/>
        <w:autoSpaceDN w:val="0"/>
        <w:rPr>
          <w:rFonts w:ascii="Sora" w:hAnsi="Sora" w:cs="Sora"/>
          <w:szCs w:val="22"/>
          <w:lang w:val="en-GB"/>
        </w:rPr>
      </w:pPr>
    </w:p>
    <w:p w14:paraId="23F23135" w14:textId="77777777" w:rsidR="00D76433" w:rsidRPr="00093699" w:rsidRDefault="00D76433" w:rsidP="00D76433">
      <w:pPr>
        <w:autoSpaceDE w:val="0"/>
        <w:autoSpaceDN w:val="0"/>
        <w:rPr>
          <w:rFonts w:ascii="Sora" w:hAnsi="Sora" w:cs="Sora"/>
          <w:szCs w:val="22"/>
          <w:lang w:val="en-GB"/>
        </w:rPr>
      </w:pPr>
      <w:r w:rsidRPr="00093699">
        <w:rPr>
          <w:rFonts w:ascii="Sora" w:hAnsi="Sora" w:cs="Sora"/>
          <w:szCs w:val="22"/>
          <w:lang w:val="en-GB"/>
        </w:rPr>
        <w:t>For more information, please visit www.inverto.com</w:t>
      </w:r>
    </w:p>
    <w:p w14:paraId="1D5693AD" w14:textId="77777777" w:rsidR="00D76433" w:rsidRPr="00093699" w:rsidRDefault="00D76433" w:rsidP="00D76433">
      <w:pPr>
        <w:ind w:right="-567"/>
        <w:rPr>
          <w:rFonts w:ascii="Sora" w:hAnsi="Sora" w:cs="Sora"/>
          <w:szCs w:val="22"/>
          <w:lang w:val="en-GB"/>
        </w:rPr>
      </w:pPr>
    </w:p>
    <w:p w14:paraId="1D6C0A06" w14:textId="77777777" w:rsidR="00D76433" w:rsidRPr="00093699" w:rsidRDefault="00D76433" w:rsidP="00D76433">
      <w:pPr>
        <w:spacing w:line="276" w:lineRule="auto"/>
        <w:ind w:right="-567"/>
        <w:jc w:val="center"/>
        <w:rPr>
          <w:rFonts w:ascii="Sora" w:hAnsi="Sora" w:cs="Sora"/>
          <w:color w:val="808080" w:themeColor="background1" w:themeShade="80"/>
          <w:szCs w:val="22"/>
          <w:lang w:val="en-GB"/>
        </w:rPr>
      </w:pPr>
      <w:r w:rsidRPr="00093699">
        <w:rPr>
          <w:rFonts w:ascii="Sora" w:hAnsi="Sora" w:cs="Sora"/>
          <w:b/>
          <w:bCs/>
          <w:iCs/>
          <w:szCs w:val="22"/>
          <w:lang w:val="en-GB"/>
        </w:rPr>
        <w:t>ENDS</w:t>
      </w:r>
      <w:bookmarkEnd w:id="1"/>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29963B6D" w14:textId="04F48A9A" w:rsidR="00233B84" w:rsidRPr="00FC21A2" w:rsidRDefault="006064D1" w:rsidP="00FC21A2">
      <w:r w:rsidRPr="004F372C">
        <w:rPr>
          <w:rFonts w:cs="Arial"/>
          <w:noProof/>
          <w:color w:val="000000"/>
          <w:sz w:val="20"/>
          <w:szCs w:val="20"/>
          <w:shd w:val="clear" w:color="auto" w:fill="E6E6E6"/>
        </w:rPr>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8"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9" w:history="1">
                              <w:r w:rsidRPr="006064D1">
                                <w:rPr>
                                  <w:rStyle w:val="Hyperlink"/>
                                  <w:rFonts w:ascii="Sora" w:hAnsi="Sora" w:cs="Sora"/>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ooter"/>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10"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1" w:history="1">
                        <w:r w:rsidRPr="006064D1">
                          <w:rPr>
                            <w:rStyle w:val="Hyperlink"/>
                            <w:rFonts w:ascii="Sora" w:hAnsi="Sora" w:cs="Sora"/>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3A2C0" w14:textId="77777777" w:rsidR="00D906C3" w:rsidRDefault="00D906C3">
      <w:r>
        <w:separator/>
      </w:r>
    </w:p>
  </w:endnote>
  <w:endnote w:type="continuationSeparator" w:id="0">
    <w:p w14:paraId="290E0E84" w14:textId="77777777" w:rsidR="00D906C3" w:rsidRDefault="00D90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A9AA1" w14:textId="77777777" w:rsidR="00D906C3" w:rsidRDefault="00D906C3">
      <w:r>
        <w:separator/>
      </w:r>
    </w:p>
  </w:footnote>
  <w:footnote w:type="continuationSeparator" w:id="0">
    <w:p w14:paraId="0C73B111" w14:textId="77777777" w:rsidR="00D906C3" w:rsidRDefault="00D906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5D61210"/>
    <w:multiLevelType w:val="multilevel"/>
    <w:tmpl w:val="2C1449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7E6CA6"/>
    <w:multiLevelType w:val="multilevel"/>
    <w:tmpl w:val="D3749C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87403825">
    <w:abstractNumId w:val="0"/>
  </w:num>
  <w:num w:numId="2" w16cid:durableId="1717851222">
    <w:abstractNumId w:val="1"/>
  </w:num>
  <w:num w:numId="3" w16cid:durableId="873079540">
    <w:abstractNumId w:val="3"/>
  </w:num>
  <w:num w:numId="4" w16cid:durableId="680157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421D"/>
    <w:rsid w:val="0008641B"/>
    <w:rsid w:val="00087291"/>
    <w:rsid w:val="00093699"/>
    <w:rsid w:val="000A48DB"/>
    <w:rsid w:val="000A5D7D"/>
    <w:rsid w:val="000A617F"/>
    <w:rsid w:val="000B0142"/>
    <w:rsid w:val="000B14C9"/>
    <w:rsid w:val="000B2F44"/>
    <w:rsid w:val="000B3846"/>
    <w:rsid w:val="000B4DC2"/>
    <w:rsid w:val="000C411A"/>
    <w:rsid w:val="000C7B2D"/>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21135"/>
    <w:rsid w:val="00221A6D"/>
    <w:rsid w:val="00224193"/>
    <w:rsid w:val="00231C9A"/>
    <w:rsid w:val="00233B84"/>
    <w:rsid w:val="00233FBE"/>
    <w:rsid w:val="00234AF9"/>
    <w:rsid w:val="00237116"/>
    <w:rsid w:val="00244FBF"/>
    <w:rsid w:val="002457A5"/>
    <w:rsid w:val="002466EB"/>
    <w:rsid w:val="0025287D"/>
    <w:rsid w:val="00253528"/>
    <w:rsid w:val="00261A59"/>
    <w:rsid w:val="00262A06"/>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4DE"/>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6D20"/>
    <w:rsid w:val="00780871"/>
    <w:rsid w:val="0078189D"/>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76C7"/>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97E20"/>
    <w:rsid w:val="008A658D"/>
    <w:rsid w:val="008B2975"/>
    <w:rsid w:val="008B39B3"/>
    <w:rsid w:val="008B56BA"/>
    <w:rsid w:val="008B57DA"/>
    <w:rsid w:val="008C05F3"/>
    <w:rsid w:val="008C1CF1"/>
    <w:rsid w:val="008C49FF"/>
    <w:rsid w:val="008D3A0F"/>
    <w:rsid w:val="008D4E2A"/>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41D0"/>
    <w:rsid w:val="00AA4AD2"/>
    <w:rsid w:val="00AA57C9"/>
    <w:rsid w:val="00AB05AE"/>
    <w:rsid w:val="00AB0E5F"/>
    <w:rsid w:val="00AB28B8"/>
    <w:rsid w:val="00AB649C"/>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6433"/>
    <w:rsid w:val="00D77637"/>
    <w:rsid w:val="00D8384B"/>
    <w:rsid w:val="00D905EE"/>
    <w:rsid w:val="00D906C3"/>
    <w:rsid w:val="00DA0131"/>
    <w:rsid w:val="00DA1AA7"/>
    <w:rsid w:val="00DA28FE"/>
    <w:rsid w:val="00DA3A38"/>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CA8"/>
    <w:rsid w:val="00DE4AE3"/>
    <w:rsid w:val="00DE72DB"/>
    <w:rsid w:val="00DE7872"/>
    <w:rsid w:val="00DE7933"/>
    <w:rsid w:val="00DF16A6"/>
    <w:rsid w:val="00DF675F"/>
    <w:rsid w:val="00E02E7E"/>
    <w:rsid w:val="00E05B43"/>
    <w:rsid w:val="00E06F5C"/>
    <w:rsid w:val="00E07E17"/>
    <w:rsid w:val="00E10A75"/>
    <w:rsid w:val="00E11496"/>
    <w:rsid w:val="00E12C76"/>
    <w:rsid w:val="00E13977"/>
    <w:rsid w:val="00E13DA7"/>
    <w:rsid w:val="00E243EA"/>
    <w:rsid w:val="00E37CD0"/>
    <w:rsid w:val="00E41FBD"/>
    <w:rsid w:val="00E420B2"/>
    <w:rsid w:val="00E426E4"/>
    <w:rsid w:val="00E44F23"/>
    <w:rsid w:val="00E460E7"/>
    <w:rsid w:val="00E46F6B"/>
    <w:rsid w:val="00E534E5"/>
    <w:rsid w:val="00E534E6"/>
    <w:rsid w:val="00E5504C"/>
    <w:rsid w:val="00E5607D"/>
    <w:rsid w:val="00E60E3B"/>
    <w:rsid w:val="00E64261"/>
    <w:rsid w:val="00E708B2"/>
    <w:rsid w:val="00E715DE"/>
    <w:rsid w:val="00E74AB7"/>
    <w:rsid w:val="00E815B3"/>
    <w:rsid w:val="00E82BAD"/>
    <w:rsid w:val="00E8527C"/>
    <w:rsid w:val="00E9096D"/>
    <w:rsid w:val="00E93384"/>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3825"/>
    <w:rsid w:val="00FC5621"/>
    <w:rsid w:val="00FC7129"/>
    <w:rsid w:val="00FC791C"/>
    <w:rsid w:val="00FD0140"/>
    <w:rsid w:val="00FD0ED5"/>
    <w:rsid w:val="00FD1C47"/>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semiHidden/>
    <w:unhideWhenUsed/>
    <w:rsid w:val="004E4B88"/>
    <w:rPr>
      <w:sz w:val="20"/>
      <w:szCs w:val="20"/>
    </w:rPr>
  </w:style>
  <w:style w:type="character" w:customStyle="1" w:styleId="CommentTextChar">
    <w:name w:val="Comment Text Char"/>
    <w:basedOn w:val="DefaultParagraphFont"/>
    <w:link w:val="CommentText"/>
    <w:uiPriority w:val="99"/>
    <w:semiHidden/>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209533784">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894631">
      <w:bodyDiv w:val="1"/>
      <w:marLeft w:val="0"/>
      <w:marRight w:val="0"/>
      <w:marTop w:val="0"/>
      <w:marBottom w:val="0"/>
      <w:divBdr>
        <w:top w:val="none" w:sz="0" w:space="0" w:color="auto"/>
        <w:left w:val="none" w:sz="0" w:space="0" w:color="auto"/>
        <w:bottom w:val="none" w:sz="0" w:space="0" w:color="auto"/>
        <w:right w:val="none" w:sz="0" w:space="0" w:color="auto"/>
      </w:divBdr>
    </w:div>
    <w:div w:id="1425803932">
      <w:bodyDiv w:val="1"/>
      <w:marLeft w:val="0"/>
      <w:marRight w:val="0"/>
      <w:marTop w:val="0"/>
      <w:marBottom w:val="0"/>
      <w:divBdr>
        <w:top w:val="none" w:sz="0" w:space="0" w:color="auto"/>
        <w:left w:val="none" w:sz="0" w:space="0" w:color="auto"/>
        <w:bottom w:val="none" w:sz="0" w:space="0" w:color="auto"/>
        <w:right w:val="none" w:sz="0" w:space="0" w:color="auto"/>
      </w:divBdr>
    </w:div>
    <w:div w:id="1442339356">
      <w:bodyDiv w:val="1"/>
      <w:marLeft w:val="0"/>
      <w:marRight w:val="0"/>
      <w:marTop w:val="0"/>
      <w:marBottom w:val="0"/>
      <w:divBdr>
        <w:top w:val="none" w:sz="0" w:space="0" w:color="auto"/>
        <w:left w:val="none" w:sz="0" w:space="0" w:color="auto"/>
        <w:bottom w:val="none" w:sz="0" w:space="0" w:color="auto"/>
        <w:right w:val="none" w:sz="0" w:space="0" w:color="auto"/>
      </w:divBdr>
    </w:div>
    <w:div w:id="1466045866">
      <w:bodyDiv w:val="1"/>
      <w:marLeft w:val="0"/>
      <w:marRight w:val="0"/>
      <w:marTop w:val="0"/>
      <w:marBottom w:val="0"/>
      <w:divBdr>
        <w:top w:val="none" w:sz="0" w:space="0" w:color="auto"/>
        <w:left w:val="none" w:sz="0" w:space="0" w:color="auto"/>
        <w:bottom w:val="none" w:sz="0" w:space="0" w:color="auto"/>
        <w:right w:val="none" w:sz="0" w:space="0" w:color="auto"/>
      </w:divBdr>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1967197884">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095861177">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ullrich@inverto.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rto.com/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ullrich@inverto.com" TargetMode="External"/><Relationship Id="rId4" Type="http://schemas.openxmlformats.org/officeDocument/2006/relationships/settings" Target="settings.xml"/><Relationship Id="rId9" Type="http://schemas.openxmlformats.org/officeDocument/2006/relationships/hyperlink" Target="http://www.inverto.com/e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Pressemitteilung DE</vt:lpstr>
    </vt:vector>
  </TitlesOfParts>
  <Company>INVERTO</Company>
  <LinksUpToDate>false</LinksUpToDate>
  <CharactersWithSpaces>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3</cp:revision>
  <cp:lastPrinted>2018-04-11T07:34:00Z</cp:lastPrinted>
  <dcterms:created xsi:type="dcterms:W3CDTF">2025-04-10T14:04:00Z</dcterms:created>
  <dcterms:modified xsi:type="dcterms:W3CDTF">2026-10-15T07:39:00Z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