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6371" w14:textId="4C67DE3E" w:rsidR="00D76433" w:rsidRDefault="00E15D3C" w:rsidP="00E15D3C">
      <w:pPr>
        <w:contextualSpacing/>
        <w:jc w:val="center"/>
        <w:rPr>
          <w:rFonts w:ascii="Sora" w:hAnsi="Sora" w:cs="Sora"/>
          <w:b/>
          <w:sz w:val="36"/>
          <w:lang w:val="en-GB"/>
        </w:rPr>
      </w:pPr>
      <w:bookmarkStart w:id="0" w:name="_Hlk534903597"/>
      <w:bookmarkStart w:id="1" w:name="_Hlk188884993"/>
      <w:r w:rsidRPr="00E15D3C">
        <w:rPr>
          <w:rFonts w:ascii="Sora" w:hAnsi="Sora" w:cs="Sora"/>
          <w:b/>
          <w:sz w:val="36"/>
          <w:lang w:val="en-GB"/>
        </w:rPr>
        <w:t>Investments in the energy sector challenged by supply shortages, lack of talent, and price risks</w:t>
      </w:r>
    </w:p>
    <w:p w14:paraId="28E3DC34" w14:textId="77777777" w:rsidR="00E15D3C" w:rsidRPr="00E15D3C" w:rsidRDefault="00E15D3C" w:rsidP="00E15D3C">
      <w:pPr>
        <w:contextualSpacing/>
        <w:jc w:val="center"/>
        <w:rPr>
          <w:rFonts w:ascii="Arial" w:hAnsi="Arial" w:cs="Arial"/>
          <w:b/>
          <w:bCs/>
          <w:sz w:val="32"/>
          <w:szCs w:val="32"/>
          <w:lang w:val="en-US"/>
        </w:rPr>
      </w:pPr>
    </w:p>
    <w:bookmarkEnd w:id="0"/>
    <w:p w14:paraId="445E4D2A" w14:textId="77777777" w:rsidR="00E15D3C" w:rsidRPr="00E15D3C" w:rsidRDefault="00E15D3C" w:rsidP="00E15D3C">
      <w:pPr>
        <w:pStyle w:val="ListParagraph"/>
        <w:numPr>
          <w:ilvl w:val="0"/>
          <w:numId w:val="3"/>
        </w:numPr>
        <w:spacing w:after="160" w:line="278" w:lineRule="auto"/>
        <w:rPr>
          <w:rFonts w:ascii="Sora" w:hAnsi="Sora" w:cs="Sora"/>
          <w:b/>
          <w:bCs/>
          <w:szCs w:val="22"/>
          <w:lang w:val="en-US"/>
        </w:rPr>
      </w:pPr>
      <w:r w:rsidRPr="00E15D3C">
        <w:rPr>
          <w:rFonts w:ascii="Sora" w:hAnsi="Sora" w:cs="Sora"/>
          <w:b/>
          <w:bCs/>
          <w:szCs w:val="22"/>
          <w:lang w:val="en-US"/>
        </w:rPr>
        <w:t>Broad-ranging study by Inverto analyzes strategies in the energy sector for CAPEX investments</w:t>
      </w:r>
    </w:p>
    <w:p w14:paraId="70C31CE5" w14:textId="77777777" w:rsidR="00E15D3C" w:rsidRPr="00E15D3C" w:rsidDel="00CC3909" w:rsidRDefault="00E15D3C" w:rsidP="00E15D3C">
      <w:pPr>
        <w:pStyle w:val="ListParagraph"/>
        <w:numPr>
          <w:ilvl w:val="0"/>
          <w:numId w:val="3"/>
        </w:numPr>
        <w:spacing w:after="160" w:line="278" w:lineRule="auto"/>
        <w:rPr>
          <w:rFonts w:ascii="Sora" w:hAnsi="Sora" w:cs="Sora"/>
          <w:szCs w:val="22"/>
          <w:lang w:val="en-US"/>
        </w:rPr>
      </w:pPr>
      <w:r w:rsidRPr="00E15D3C">
        <w:rPr>
          <w:rFonts w:ascii="Sora" w:hAnsi="Sora" w:cs="Sora"/>
          <w:b/>
          <w:bCs/>
          <w:szCs w:val="22"/>
          <w:lang w:val="en-US"/>
        </w:rPr>
        <w:t>Continuous project management and close supplier relationships are crucial to shape the future of energy supply</w:t>
      </w:r>
    </w:p>
    <w:p w14:paraId="083878D4" w14:textId="77777777" w:rsidR="00E15D3C" w:rsidRPr="00E15D3C" w:rsidRDefault="00E15D3C" w:rsidP="00E15D3C">
      <w:pPr>
        <w:contextualSpacing/>
        <w:rPr>
          <w:rFonts w:ascii="Sora" w:hAnsi="Sora" w:cs="Sora"/>
          <w:bCs/>
          <w:szCs w:val="22"/>
          <w:lang w:val="en-US"/>
        </w:rPr>
      </w:pPr>
      <w:r w:rsidRPr="00E15D3C">
        <w:rPr>
          <w:rFonts w:ascii="Sora" w:hAnsi="Sora" w:cs="Sora"/>
          <w:b/>
          <w:i/>
          <w:szCs w:val="22"/>
          <w:lang w:val="en-US"/>
        </w:rPr>
        <w:t>London, February xx</w:t>
      </w:r>
      <w:r w:rsidRPr="00E15D3C">
        <w:rPr>
          <w:rFonts w:ascii="Sora" w:hAnsi="Sora" w:cs="Sora"/>
          <w:szCs w:val="22"/>
          <w:lang w:val="en-US"/>
        </w:rPr>
        <w:t>: On-time and on-budget delivery, as well as profitability, are the key objectives in Capital Expenditure (CAPEX) projects in the energy sector</w:t>
      </w:r>
      <w:r w:rsidRPr="00E15D3C">
        <w:rPr>
          <w:rFonts w:ascii="Sora" w:hAnsi="Sora" w:cs="Sora"/>
          <w:bCs/>
          <w:szCs w:val="22"/>
          <w:lang w:val="en-US"/>
        </w:rPr>
        <w:t xml:space="preserve">, according to a new survey of 389 energy companies conducted by Inverto, a Boston Consulting Group subsidiary, specializing in procurement and supply chain management. However, these goals face significant challenges. Survey participants identified three primary issues that put investments at risk: supply shortages, talent gaps, and unpredictable price fluctuations. </w:t>
      </w:r>
    </w:p>
    <w:p w14:paraId="79800566" w14:textId="77777777" w:rsidR="00E15D3C" w:rsidRPr="00E15D3C" w:rsidRDefault="00E15D3C" w:rsidP="00E15D3C">
      <w:pPr>
        <w:contextualSpacing/>
        <w:rPr>
          <w:rFonts w:ascii="Sora" w:hAnsi="Sora" w:cs="Sora"/>
          <w:bCs/>
          <w:szCs w:val="22"/>
          <w:lang w:val="en-US"/>
        </w:rPr>
      </w:pPr>
    </w:p>
    <w:p w14:paraId="3F5C1696" w14:textId="50D9C305" w:rsidR="00E15D3C" w:rsidRPr="00E15D3C" w:rsidRDefault="00E15D3C" w:rsidP="00E15D3C">
      <w:pPr>
        <w:contextualSpacing/>
        <w:rPr>
          <w:rFonts w:ascii="Sora" w:hAnsi="Sora" w:cs="Sora"/>
          <w:bCs/>
          <w:szCs w:val="22"/>
          <w:lang w:val="en-US"/>
        </w:rPr>
      </w:pPr>
      <w:r w:rsidRPr="00E15D3C">
        <w:rPr>
          <w:rFonts w:ascii="Sora" w:hAnsi="Sora" w:cs="Sora"/>
          <w:bCs/>
          <w:szCs w:val="22"/>
          <w:lang w:val="en-US"/>
        </w:rPr>
        <w:t xml:space="preserve">The energy sector is experiencing unprecedented CAPEX demands as it builds the infrastructure required for the green transition. More than half </w:t>
      </w:r>
      <w:r w:rsidRPr="006070AD">
        <w:rPr>
          <w:rFonts w:ascii="Sora" w:hAnsi="Sora" w:cs="Sora"/>
          <w:bCs/>
          <w:szCs w:val="22"/>
          <w:lang w:val="en-US"/>
        </w:rPr>
        <w:t>of survey respondents</w:t>
      </w:r>
      <w:r w:rsidRPr="00E15D3C">
        <w:rPr>
          <w:rFonts w:ascii="Sora" w:hAnsi="Sora" w:cs="Sora"/>
          <w:bCs/>
          <w:szCs w:val="22"/>
          <w:lang w:val="en-US"/>
        </w:rPr>
        <w:t xml:space="preserve"> anticipate their annual CAPEX expenditures to exceed €5 billion between 2025 and 2030. Opinions on </w:t>
      </w:r>
      <w:r w:rsidR="00103640">
        <w:rPr>
          <w:rFonts w:ascii="Sora" w:hAnsi="Sora" w:cs="Sora"/>
          <w:bCs/>
          <w:szCs w:val="22"/>
          <w:lang w:val="en-US"/>
        </w:rPr>
        <w:t xml:space="preserve">long-term </w:t>
      </w:r>
      <w:r w:rsidRPr="00E15D3C">
        <w:rPr>
          <w:rFonts w:ascii="Sora" w:hAnsi="Sora" w:cs="Sora"/>
          <w:bCs/>
          <w:szCs w:val="22"/>
          <w:lang w:val="en-US"/>
        </w:rPr>
        <w:t xml:space="preserve">price trends vary, with roughly one-third of participants </w:t>
      </w:r>
      <w:r w:rsidR="007020FD">
        <w:rPr>
          <w:rFonts w:ascii="Sora" w:hAnsi="Sora" w:cs="Sora"/>
          <w:bCs/>
          <w:szCs w:val="22"/>
          <w:lang w:val="en-US"/>
        </w:rPr>
        <w:t xml:space="preserve">each </w:t>
      </w:r>
      <w:r w:rsidRPr="00E15D3C">
        <w:rPr>
          <w:rFonts w:ascii="Sora" w:hAnsi="Sora" w:cs="Sora"/>
          <w:bCs/>
          <w:szCs w:val="22"/>
          <w:lang w:val="en-US"/>
        </w:rPr>
        <w:t xml:space="preserve">expecting prices to increase, </w:t>
      </w:r>
      <w:r w:rsidR="007020FD">
        <w:rPr>
          <w:rFonts w:ascii="Sora" w:hAnsi="Sora" w:cs="Sora"/>
          <w:bCs/>
          <w:szCs w:val="22"/>
          <w:lang w:val="en-US"/>
        </w:rPr>
        <w:t>to</w:t>
      </w:r>
      <w:r w:rsidRPr="00E15D3C">
        <w:rPr>
          <w:rFonts w:ascii="Sora" w:hAnsi="Sora" w:cs="Sora"/>
          <w:bCs/>
          <w:szCs w:val="22"/>
          <w:lang w:val="en-US"/>
        </w:rPr>
        <w:t xml:space="preserve"> decrease</w:t>
      </w:r>
      <w:r w:rsidR="007020FD">
        <w:rPr>
          <w:rFonts w:ascii="Sora" w:hAnsi="Sora" w:cs="Sora"/>
          <w:bCs/>
          <w:szCs w:val="22"/>
          <w:lang w:val="en-US"/>
        </w:rPr>
        <w:t xml:space="preserve"> or to stay</w:t>
      </w:r>
      <w:r w:rsidRPr="00E15D3C">
        <w:rPr>
          <w:rFonts w:ascii="Sora" w:hAnsi="Sora" w:cs="Sora"/>
          <w:bCs/>
          <w:szCs w:val="22"/>
          <w:lang w:val="en-US"/>
        </w:rPr>
        <w:t xml:space="preserve"> stab</w:t>
      </w:r>
      <w:r w:rsidR="007020FD">
        <w:rPr>
          <w:rFonts w:ascii="Sora" w:hAnsi="Sora" w:cs="Sora"/>
          <w:bCs/>
          <w:szCs w:val="22"/>
          <w:lang w:val="en-US"/>
        </w:rPr>
        <w:t>le</w:t>
      </w:r>
      <w:r w:rsidRPr="00E15D3C">
        <w:rPr>
          <w:rFonts w:ascii="Sora" w:hAnsi="Sora" w:cs="Sora"/>
          <w:bCs/>
          <w:szCs w:val="22"/>
          <w:lang w:val="en-US"/>
        </w:rPr>
        <w:t>.</w:t>
      </w:r>
      <w:r w:rsidR="00103640" w:rsidRPr="00103640">
        <w:rPr>
          <w:lang w:val="en-US"/>
        </w:rPr>
        <w:t xml:space="preserve"> </w:t>
      </w:r>
      <w:r w:rsidR="00103640" w:rsidRPr="00103640">
        <w:rPr>
          <w:rFonts w:ascii="Sora" w:hAnsi="Sora" w:cs="Sora"/>
          <w:bCs/>
          <w:szCs w:val="22"/>
          <w:lang w:val="en-US"/>
        </w:rPr>
        <w:t>Respondents are concerned about persistently long delivery times</w:t>
      </w:r>
      <w:r w:rsidR="00E45C6D">
        <w:rPr>
          <w:rFonts w:ascii="Sora" w:hAnsi="Sora" w:cs="Sora"/>
          <w:bCs/>
          <w:szCs w:val="22"/>
          <w:lang w:val="en-US"/>
        </w:rPr>
        <w:t>, as</w:t>
      </w:r>
      <w:r w:rsidR="00103640" w:rsidRPr="00103640">
        <w:rPr>
          <w:rFonts w:ascii="Sora" w:hAnsi="Sora" w:cs="Sora"/>
          <w:bCs/>
          <w:szCs w:val="22"/>
          <w:lang w:val="en-US"/>
        </w:rPr>
        <w:t xml:space="preserve"> </w:t>
      </w:r>
      <w:r w:rsidR="00E45C6D">
        <w:rPr>
          <w:rFonts w:ascii="Sora" w:hAnsi="Sora" w:cs="Sora"/>
          <w:bCs/>
          <w:szCs w:val="22"/>
          <w:lang w:val="en-US"/>
        </w:rPr>
        <w:t>d</w:t>
      </w:r>
      <w:r w:rsidR="00103640" w:rsidRPr="00103640">
        <w:rPr>
          <w:rFonts w:ascii="Sora" w:hAnsi="Sora" w:cs="Sora"/>
          <w:bCs/>
          <w:szCs w:val="22"/>
          <w:lang w:val="en-US"/>
        </w:rPr>
        <w:t xml:space="preserve">elays in </w:t>
      </w:r>
      <w:r w:rsidR="00E45C6D">
        <w:rPr>
          <w:rFonts w:ascii="Sora" w:hAnsi="Sora" w:cs="Sora"/>
          <w:bCs/>
          <w:szCs w:val="22"/>
          <w:lang w:val="en-US"/>
        </w:rPr>
        <w:t xml:space="preserve">project </w:t>
      </w:r>
      <w:r w:rsidR="00AA3128" w:rsidRPr="00103640">
        <w:rPr>
          <w:rFonts w:ascii="Sora" w:hAnsi="Sora" w:cs="Sora"/>
          <w:bCs/>
          <w:szCs w:val="22"/>
          <w:lang w:val="en-US"/>
        </w:rPr>
        <w:t>realization,</w:t>
      </w:r>
      <w:r w:rsidR="00E45C6D">
        <w:rPr>
          <w:rFonts w:ascii="Sora" w:hAnsi="Sora" w:cs="Sora"/>
          <w:bCs/>
          <w:szCs w:val="22"/>
          <w:lang w:val="en-US"/>
        </w:rPr>
        <w:t xml:space="preserve"> due to</w:t>
      </w:r>
      <w:r w:rsidR="00103640" w:rsidRPr="00103640">
        <w:rPr>
          <w:rFonts w:ascii="Sora" w:hAnsi="Sora" w:cs="Sora"/>
          <w:bCs/>
          <w:szCs w:val="22"/>
          <w:lang w:val="en-US"/>
        </w:rPr>
        <w:t xml:space="preserve"> late deliveries</w:t>
      </w:r>
      <w:r w:rsidR="00E101E8">
        <w:rPr>
          <w:rFonts w:ascii="Sora" w:hAnsi="Sora" w:cs="Sora"/>
          <w:bCs/>
          <w:szCs w:val="22"/>
          <w:lang w:val="en-US"/>
        </w:rPr>
        <w:t>, often</w:t>
      </w:r>
      <w:r w:rsidR="00103640" w:rsidRPr="00103640">
        <w:rPr>
          <w:rFonts w:ascii="Sora" w:hAnsi="Sora" w:cs="Sora"/>
          <w:bCs/>
          <w:szCs w:val="22"/>
          <w:lang w:val="en-US"/>
        </w:rPr>
        <w:t xml:space="preserve"> lead to un</w:t>
      </w:r>
      <w:r w:rsidR="00103640">
        <w:rPr>
          <w:rFonts w:ascii="Sora" w:hAnsi="Sora" w:cs="Sora"/>
          <w:bCs/>
          <w:szCs w:val="22"/>
          <w:lang w:val="en-US"/>
        </w:rPr>
        <w:t>expected</w:t>
      </w:r>
      <w:r w:rsidR="00103640" w:rsidRPr="00103640">
        <w:rPr>
          <w:rFonts w:ascii="Sora" w:hAnsi="Sora" w:cs="Sora"/>
          <w:bCs/>
          <w:szCs w:val="22"/>
          <w:lang w:val="en-US"/>
        </w:rPr>
        <w:t xml:space="preserve"> cost increases of </w:t>
      </w:r>
      <w:r w:rsidR="00103640">
        <w:rPr>
          <w:rFonts w:ascii="Sora" w:hAnsi="Sora" w:cs="Sora"/>
          <w:bCs/>
          <w:szCs w:val="22"/>
          <w:lang w:val="en-US"/>
        </w:rPr>
        <w:t>10</w:t>
      </w:r>
      <w:r w:rsidR="00103640" w:rsidRPr="00103640">
        <w:rPr>
          <w:rFonts w:ascii="Sora" w:hAnsi="Sora" w:cs="Sora"/>
          <w:bCs/>
          <w:szCs w:val="22"/>
          <w:lang w:val="en-US"/>
        </w:rPr>
        <w:t xml:space="preserve"> to 35</w:t>
      </w:r>
      <w:r w:rsidR="00103640">
        <w:rPr>
          <w:rFonts w:ascii="Sora" w:hAnsi="Sora" w:cs="Sora"/>
          <w:bCs/>
          <w:szCs w:val="22"/>
          <w:lang w:val="en-US"/>
        </w:rPr>
        <w:t>%</w:t>
      </w:r>
      <w:r w:rsidR="00103640" w:rsidRPr="00103640">
        <w:rPr>
          <w:rFonts w:ascii="Sora" w:hAnsi="Sora" w:cs="Sora"/>
          <w:bCs/>
          <w:szCs w:val="22"/>
          <w:lang w:val="en-US"/>
        </w:rPr>
        <w:t>.</w:t>
      </w:r>
    </w:p>
    <w:p w14:paraId="4ADB4E23" w14:textId="77777777" w:rsidR="00E15D3C" w:rsidRPr="00E15D3C" w:rsidRDefault="00E15D3C" w:rsidP="00E15D3C">
      <w:pPr>
        <w:contextualSpacing/>
        <w:rPr>
          <w:rFonts w:ascii="Sora" w:hAnsi="Sora" w:cs="Sora"/>
          <w:szCs w:val="22"/>
          <w:lang w:val="en-US"/>
        </w:rPr>
      </w:pPr>
    </w:p>
    <w:p w14:paraId="5A515FCB" w14:textId="77777777" w:rsidR="00E15D3C" w:rsidRPr="00E15D3C" w:rsidRDefault="00E15D3C" w:rsidP="00E15D3C">
      <w:pPr>
        <w:contextualSpacing/>
        <w:rPr>
          <w:rFonts w:ascii="Sora" w:hAnsi="Sora" w:cs="Sora"/>
          <w:szCs w:val="22"/>
          <w:lang w:val="en-US"/>
        </w:rPr>
      </w:pPr>
      <w:r w:rsidRPr="00E15D3C">
        <w:rPr>
          <w:rFonts w:ascii="Sora" w:hAnsi="Sora" w:cs="Sora"/>
          <w:szCs w:val="22"/>
          <w:lang w:val="en-US"/>
        </w:rPr>
        <w:t>Most companies recognize the critical role of their suppliers in completing projects on time and within budget. To mitigate supply chain risks and stabilize costs, energy firms are increasingly investing in long-term supplier relationships. The study reveals that 39% of companies are actively utilizing long-term agreements (LTAs) to encourage collaboration, while 38% are engaging in joint development projects or joint ventures. Additionally, 36% rely on strategic partnerships.</w:t>
      </w:r>
      <w:r w:rsidRPr="00E15D3C">
        <w:rPr>
          <w:rFonts w:ascii="Sora" w:hAnsi="Sora" w:cs="Sora"/>
          <w:szCs w:val="22"/>
          <w:lang w:val="en-US"/>
        </w:rPr>
        <w:br/>
      </w:r>
    </w:p>
    <w:p w14:paraId="7ED4C8BB" w14:textId="7F46033A" w:rsidR="00E15D3C" w:rsidRPr="00E15D3C" w:rsidRDefault="00E15D3C" w:rsidP="00E15D3C">
      <w:pPr>
        <w:contextualSpacing/>
        <w:rPr>
          <w:rFonts w:ascii="Sora" w:hAnsi="Sora" w:cs="Sora"/>
          <w:szCs w:val="22"/>
          <w:lang w:val="en-US"/>
        </w:rPr>
      </w:pPr>
      <w:r w:rsidRPr="00E15D3C">
        <w:rPr>
          <w:rFonts w:ascii="Sora" w:hAnsi="Sora" w:cs="Sora"/>
          <w:szCs w:val="22"/>
          <w:lang w:val="en-US"/>
        </w:rPr>
        <w:t xml:space="preserve">Mohamad Kaivan, Managing Director at Inverto, says: "Delays in critical equipment deliveries and </w:t>
      </w:r>
      <w:r w:rsidR="00103640">
        <w:rPr>
          <w:rFonts w:ascii="Sora" w:hAnsi="Sora" w:cs="Sora"/>
          <w:szCs w:val="22"/>
          <w:lang w:val="en-US"/>
        </w:rPr>
        <w:t>unexpected cost increases</w:t>
      </w:r>
      <w:r w:rsidRPr="00E15D3C">
        <w:rPr>
          <w:rFonts w:ascii="Sora" w:hAnsi="Sora" w:cs="Sora"/>
          <w:szCs w:val="22"/>
          <w:lang w:val="en-US"/>
        </w:rPr>
        <w:t xml:space="preserve"> are major challenges for energy companies worldwide. These pressures highlight the growing need for close supplier relationships</w:t>
      </w:r>
      <w:r w:rsidR="00103640">
        <w:rPr>
          <w:rFonts w:ascii="Sora" w:hAnsi="Sora" w:cs="Sora"/>
          <w:szCs w:val="22"/>
          <w:lang w:val="en-US"/>
        </w:rPr>
        <w:t>,</w:t>
      </w:r>
      <w:r w:rsidRPr="00E15D3C">
        <w:rPr>
          <w:rFonts w:ascii="Sora" w:hAnsi="Sora" w:cs="Sora"/>
          <w:szCs w:val="22"/>
          <w:lang w:val="en-US"/>
        </w:rPr>
        <w:t xml:space="preserve"> optimized demand management</w:t>
      </w:r>
      <w:r w:rsidR="00103640">
        <w:rPr>
          <w:rFonts w:ascii="Sora" w:hAnsi="Sora" w:cs="Sora"/>
          <w:szCs w:val="22"/>
          <w:lang w:val="en-US"/>
        </w:rPr>
        <w:t xml:space="preserve">, and procurement experts </w:t>
      </w:r>
      <w:r w:rsidR="003209AE">
        <w:rPr>
          <w:rFonts w:ascii="Sora" w:hAnsi="Sora" w:cs="Sora"/>
          <w:szCs w:val="22"/>
          <w:lang w:val="en-US"/>
        </w:rPr>
        <w:t>who are cap</w:t>
      </w:r>
      <w:r w:rsidR="00103640">
        <w:rPr>
          <w:rFonts w:ascii="Sora" w:hAnsi="Sora" w:cs="Sora"/>
          <w:szCs w:val="22"/>
          <w:lang w:val="en-US"/>
        </w:rPr>
        <w:t xml:space="preserve">able </w:t>
      </w:r>
      <w:r w:rsidR="003209AE">
        <w:rPr>
          <w:rFonts w:ascii="Sora" w:hAnsi="Sora" w:cs="Sora"/>
          <w:szCs w:val="22"/>
          <w:lang w:val="en-US"/>
        </w:rPr>
        <w:t>of</w:t>
      </w:r>
      <w:r w:rsidR="00103640">
        <w:rPr>
          <w:rFonts w:ascii="Sora" w:hAnsi="Sora" w:cs="Sora"/>
          <w:szCs w:val="22"/>
          <w:lang w:val="en-US"/>
        </w:rPr>
        <w:t xml:space="preserve"> manag</w:t>
      </w:r>
      <w:r w:rsidR="003209AE">
        <w:rPr>
          <w:rFonts w:ascii="Sora" w:hAnsi="Sora" w:cs="Sora"/>
          <w:szCs w:val="22"/>
          <w:lang w:val="en-US"/>
        </w:rPr>
        <w:t>ing</w:t>
      </w:r>
      <w:r w:rsidR="00103640">
        <w:rPr>
          <w:rFonts w:ascii="Sora" w:hAnsi="Sora" w:cs="Sora"/>
          <w:szCs w:val="22"/>
          <w:lang w:val="en-US"/>
        </w:rPr>
        <w:t xml:space="preserve"> these tasks</w:t>
      </w:r>
      <w:r w:rsidRPr="00E15D3C">
        <w:rPr>
          <w:rFonts w:ascii="Sora" w:hAnsi="Sora" w:cs="Sora"/>
          <w:szCs w:val="22"/>
          <w:lang w:val="en-US"/>
        </w:rPr>
        <w:t>. Procurement teams should play a central role in CAPEX strategies to address these challenges effectively."</w:t>
      </w:r>
    </w:p>
    <w:p w14:paraId="4425B3E8" w14:textId="77777777" w:rsidR="00E15D3C" w:rsidRPr="00E15D3C" w:rsidRDefault="00E15D3C" w:rsidP="00E15D3C">
      <w:pPr>
        <w:contextualSpacing/>
        <w:rPr>
          <w:rFonts w:ascii="Sora" w:hAnsi="Sora" w:cs="Sora"/>
          <w:bCs/>
          <w:szCs w:val="22"/>
          <w:lang w:val="en-US"/>
        </w:rPr>
      </w:pPr>
    </w:p>
    <w:p w14:paraId="75739C6D" w14:textId="77777777" w:rsidR="00E15D3C" w:rsidRPr="00E15D3C" w:rsidRDefault="00E15D3C" w:rsidP="00E15D3C">
      <w:pPr>
        <w:contextualSpacing/>
        <w:rPr>
          <w:rFonts w:ascii="Sora" w:hAnsi="Sora" w:cs="Sora"/>
          <w:szCs w:val="22"/>
          <w:lang w:val="en-US"/>
        </w:rPr>
      </w:pPr>
      <w:r w:rsidRPr="00E15D3C">
        <w:rPr>
          <w:rFonts w:ascii="Sora" w:hAnsi="Sora" w:cs="Sora"/>
          <w:szCs w:val="22"/>
          <w:lang w:val="en-US"/>
        </w:rPr>
        <w:lastRenderedPageBreak/>
        <w:t xml:space="preserve">Despite this, </w:t>
      </w:r>
      <w:proofErr w:type="spellStart"/>
      <w:r w:rsidRPr="00E15D3C">
        <w:rPr>
          <w:rFonts w:ascii="Sora" w:hAnsi="Sora" w:cs="Sora"/>
          <w:szCs w:val="22"/>
          <w:lang w:val="en-US"/>
        </w:rPr>
        <w:t>Inverto’s</w:t>
      </w:r>
      <w:proofErr w:type="spellEnd"/>
      <w:r w:rsidRPr="00E15D3C">
        <w:rPr>
          <w:rFonts w:ascii="Sora" w:hAnsi="Sora" w:cs="Sora"/>
          <w:szCs w:val="22"/>
          <w:lang w:val="en-US"/>
        </w:rPr>
        <w:t xml:space="preserve"> study finds that only 10% of global energy companies currently position procurement functions as leaders of CAPEX project portfolios. Meanwhile, 17% involve procurement during portfolio planning and 20% during the conceptualization phase. This leaves more than half of the surveyed companies assigning procurement only an operational role rather than a strategic one. </w:t>
      </w:r>
    </w:p>
    <w:p w14:paraId="6F44F6EF" w14:textId="77777777" w:rsidR="00E15D3C" w:rsidRPr="00E15D3C" w:rsidRDefault="00E15D3C" w:rsidP="00E15D3C">
      <w:pPr>
        <w:contextualSpacing/>
        <w:rPr>
          <w:rFonts w:ascii="Sora" w:hAnsi="Sora" w:cs="Sora"/>
          <w:szCs w:val="22"/>
          <w:lang w:val="en-US"/>
        </w:rPr>
      </w:pPr>
    </w:p>
    <w:p w14:paraId="63754427" w14:textId="675F5CC8" w:rsidR="0026682A" w:rsidRPr="0026682A" w:rsidRDefault="0026682A" w:rsidP="0026682A">
      <w:pPr>
        <w:contextualSpacing/>
        <w:rPr>
          <w:rFonts w:ascii="Sora" w:hAnsi="Sora" w:cs="Sora"/>
          <w:szCs w:val="22"/>
          <w:lang w:val="en-US"/>
        </w:rPr>
      </w:pPr>
      <w:r w:rsidRPr="0026682A">
        <w:rPr>
          <w:rFonts w:ascii="Sora" w:hAnsi="Sora" w:cs="Sora"/>
          <w:szCs w:val="22"/>
          <w:lang w:val="en-US"/>
        </w:rPr>
        <w:t xml:space="preserve">The traditional, more operationally oriented understanding of the role of procurement no longer fits in with the challenges of the ongoing energy transition and should therefore be redefined. This applies to all sectors of the energy industry. In addition to companies that are operating in electricity generation and distribution, companies in the oil and gas industry should also adapt to new market conditions. </w:t>
      </w:r>
    </w:p>
    <w:p w14:paraId="24C4810F" w14:textId="77777777" w:rsidR="0026682A" w:rsidRPr="0026682A" w:rsidRDefault="0026682A" w:rsidP="0026682A">
      <w:pPr>
        <w:contextualSpacing/>
        <w:rPr>
          <w:rFonts w:ascii="Sora" w:hAnsi="Sora" w:cs="Sora"/>
          <w:szCs w:val="22"/>
          <w:lang w:val="en-US"/>
        </w:rPr>
      </w:pPr>
    </w:p>
    <w:p w14:paraId="2197DDB7" w14:textId="7DAFBA2C" w:rsidR="0026682A" w:rsidRPr="0026682A" w:rsidRDefault="0026682A" w:rsidP="0026682A">
      <w:pPr>
        <w:contextualSpacing/>
        <w:rPr>
          <w:rFonts w:ascii="Sora" w:hAnsi="Sora" w:cs="Sora"/>
          <w:szCs w:val="22"/>
          <w:lang w:val="en-US"/>
        </w:rPr>
      </w:pPr>
      <w:r w:rsidRPr="0026682A">
        <w:rPr>
          <w:rFonts w:ascii="Sora" w:hAnsi="Sora" w:cs="Sora"/>
          <w:szCs w:val="22"/>
          <w:lang w:val="en-US"/>
        </w:rPr>
        <w:t>While the supplier markets were largely stable in recent years and most product groups were relatively readily available, the strong global demand for components required for the transformation or expansion of electricity and gas grids is now often pushing suppliers to their capacity limits. “It is imperative to assign a central, strategically oriented role to procurement as part of the ongoing transformation and to face the challenges with a holistic supplier and product group strategy. Strategic supplier and innovation partnerships increase the chances of securing materials in the long term and avoiding supply bottlenecks,” advises Kevin Domnick, Principal at Inverto and one of the authors of the study.</w:t>
      </w:r>
    </w:p>
    <w:p w14:paraId="5A2170F9" w14:textId="77777777" w:rsidR="0026682A" w:rsidRPr="0026682A" w:rsidRDefault="0026682A" w:rsidP="0026682A">
      <w:pPr>
        <w:contextualSpacing/>
        <w:rPr>
          <w:rFonts w:ascii="Sora" w:hAnsi="Sora" w:cs="Sora"/>
          <w:szCs w:val="22"/>
          <w:lang w:val="en-US"/>
        </w:rPr>
      </w:pPr>
    </w:p>
    <w:p w14:paraId="0BFA8C51" w14:textId="412746A1" w:rsidR="00103640" w:rsidRPr="00E15D3C" w:rsidRDefault="00E15D3C" w:rsidP="0026682A">
      <w:pPr>
        <w:contextualSpacing/>
        <w:rPr>
          <w:rFonts w:ascii="Sora" w:hAnsi="Sora" w:cs="Sora"/>
          <w:szCs w:val="22"/>
          <w:lang w:val="en-US"/>
        </w:rPr>
      </w:pPr>
      <w:r w:rsidRPr="00E15D3C">
        <w:rPr>
          <w:rFonts w:ascii="Sora" w:hAnsi="Sora" w:cs="Sora"/>
          <w:szCs w:val="22"/>
          <w:lang w:val="en-US"/>
        </w:rPr>
        <w:t>Kaivan add</w:t>
      </w:r>
      <w:r w:rsidR="00217B43">
        <w:rPr>
          <w:rFonts w:ascii="Sora" w:hAnsi="Sora" w:cs="Sora"/>
          <w:szCs w:val="22"/>
          <w:lang w:val="en-US"/>
        </w:rPr>
        <w:t>s</w:t>
      </w:r>
      <w:r w:rsidRPr="00E15D3C">
        <w:rPr>
          <w:rFonts w:ascii="Sora" w:hAnsi="Sora" w:cs="Sora"/>
          <w:szCs w:val="22"/>
          <w:lang w:val="en-US"/>
        </w:rPr>
        <w:t>: "</w:t>
      </w:r>
      <w:r w:rsidR="00217B43" w:rsidRPr="00217B43">
        <w:rPr>
          <w:rFonts w:ascii="Sora" w:hAnsi="Sora" w:cs="Sora"/>
          <w:szCs w:val="22"/>
          <w:lang w:val="en-US"/>
        </w:rPr>
        <w:t>Companies should develop procurement strategies with their Procurement department at an early stage and regularly review possible synergies and market developments. Procurement experts can help to sustainably optimize the investment volume in investment projects</w:t>
      </w:r>
      <w:r w:rsidRPr="00E15D3C">
        <w:rPr>
          <w:rFonts w:ascii="Sora" w:hAnsi="Sora" w:cs="Sora"/>
          <w:szCs w:val="22"/>
          <w:lang w:val="en-US"/>
        </w:rPr>
        <w:t>."</w:t>
      </w:r>
    </w:p>
    <w:p w14:paraId="086E1581" w14:textId="77777777" w:rsidR="00E15D3C" w:rsidRPr="00E15D3C" w:rsidRDefault="00E15D3C" w:rsidP="00E15D3C">
      <w:pPr>
        <w:contextualSpacing/>
        <w:rPr>
          <w:rFonts w:ascii="Sora" w:hAnsi="Sora" w:cs="Sora"/>
          <w:szCs w:val="22"/>
          <w:lang w:val="en-US"/>
        </w:rPr>
      </w:pPr>
    </w:p>
    <w:p w14:paraId="023BB2DC" w14:textId="77777777" w:rsidR="00E15D3C" w:rsidRPr="00E15D3C" w:rsidRDefault="00E15D3C" w:rsidP="00E15D3C">
      <w:pPr>
        <w:spacing w:line="259" w:lineRule="auto"/>
        <w:contextualSpacing/>
        <w:rPr>
          <w:rFonts w:ascii="Sora" w:hAnsi="Sora" w:cs="Sora"/>
          <w:b/>
          <w:bCs/>
          <w:szCs w:val="22"/>
          <w:lang w:val="en-US"/>
        </w:rPr>
      </w:pPr>
      <w:r w:rsidRPr="00E15D3C">
        <w:rPr>
          <w:rFonts w:ascii="Sora" w:hAnsi="Sora" w:cs="Sora"/>
          <w:b/>
          <w:bCs/>
          <w:szCs w:val="22"/>
          <w:lang w:val="en-US"/>
        </w:rPr>
        <w:t>Methodology</w:t>
      </w:r>
    </w:p>
    <w:p w14:paraId="47494FDA" w14:textId="77777777" w:rsidR="00E15D3C" w:rsidRPr="00E15D3C" w:rsidRDefault="00E15D3C" w:rsidP="00E15D3C">
      <w:pPr>
        <w:contextualSpacing/>
        <w:rPr>
          <w:rFonts w:ascii="Sora" w:hAnsi="Sora" w:cs="Sora"/>
          <w:szCs w:val="22"/>
          <w:lang w:val="en-US"/>
        </w:rPr>
      </w:pPr>
      <w:r w:rsidRPr="00E15D3C">
        <w:rPr>
          <w:rFonts w:ascii="Sora" w:hAnsi="Sora" w:cs="Sora"/>
          <w:bCs/>
          <w:szCs w:val="22"/>
          <w:lang w:val="en-US"/>
        </w:rPr>
        <w:t>The survey involved 389 companies from the UK, Germany, Spain, France, the Nordics, and the Middle East, collectively representing approximately €1 trillion in CAPEX expenditures in 2023, with an average spend of €2.5 billion per company. Participants included executives from energy producers, service providers, grid operators, and OEMs, such as hydrocarbon energy companies, as well as materials and process industries.</w:t>
      </w:r>
      <w:r w:rsidRPr="00E15D3C">
        <w:rPr>
          <w:rFonts w:ascii="Sora" w:hAnsi="Sora" w:cs="Sora"/>
          <w:bCs/>
          <w:szCs w:val="22"/>
          <w:lang w:val="en-US"/>
        </w:rPr>
        <w:br/>
      </w:r>
    </w:p>
    <w:p w14:paraId="6289454C" w14:textId="6F3C7AC1" w:rsidR="00E15D3C" w:rsidRPr="00E15D3C" w:rsidRDefault="00E15D3C" w:rsidP="00E15D3C">
      <w:pPr>
        <w:contextualSpacing/>
        <w:rPr>
          <w:rFonts w:ascii="Sora" w:hAnsi="Sora" w:cs="Sora"/>
          <w:szCs w:val="22"/>
          <w:lang w:val="en-US"/>
        </w:rPr>
      </w:pPr>
      <w:r w:rsidRPr="00E15D3C">
        <w:rPr>
          <w:rFonts w:ascii="Sora" w:hAnsi="Sora" w:cs="Sora"/>
          <w:szCs w:val="22"/>
          <w:lang w:val="en-US"/>
        </w:rPr>
        <w:t xml:space="preserve">For a comprehensive analysis of the findings and actionable recommendations, download the complete study </w:t>
      </w:r>
      <w:hyperlink r:id="rId8" w:history="1">
        <w:r w:rsidR="009A00C1" w:rsidRPr="00D7777F">
          <w:rPr>
            <w:rStyle w:val="Hyperlink"/>
            <w:rFonts w:ascii="Sora" w:hAnsi="Sora" w:cs="Sora"/>
            <w:szCs w:val="22"/>
            <w:lang w:val="en-US"/>
          </w:rPr>
          <w:t>https://www.inverto.com/en/insights/capex-procurement-in-energy-study-2024/</w:t>
        </w:r>
      </w:hyperlink>
      <w:r w:rsidRPr="00E15D3C">
        <w:rPr>
          <w:rFonts w:ascii="Sora" w:hAnsi="Sora" w:cs="Sora"/>
          <w:szCs w:val="22"/>
          <w:lang w:val="en-US"/>
        </w:rPr>
        <w:t xml:space="preserve"> </w:t>
      </w:r>
    </w:p>
    <w:p w14:paraId="4734630E" w14:textId="77777777" w:rsidR="00E15D3C" w:rsidRPr="00E15D3C" w:rsidRDefault="00E15D3C" w:rsidP="00E15D3C">
      <w:pPr>
        <w:contextualSpacing/>
        <w:rPr>
          <w:rFonts w:ascii="Sora" w:hAnsi="Sora" w:cs="Sora"/>
          <w:szCs w:val="22"/>
          <w:lang w:val="en-US"/>
        </w:rPr>
      </w:pPr>
    </w:p>
    <w:p w14:paraId="31FE1CCC" w14:textId="77777777" w:rsidR="009A00C1" w:rsidRDefault="009A00C1" w:rsidP="00D76433">
      <w:pPr>
        <w:autoSpaceDE w:val="0"/>
        <w:autoSpaceDN w:val="0"/>
        <w:rPr>
          <w:rFonts w:ascii="Sora" w:hAnsi="Sora" w:cs="Sora"/>
          <w:b/>
          <w:bCs/>
          <w:lang w:val="en-GB"/>
        </w:rPr>
      </w:pPr>
    </w:p>
    <w:p w14:paraId="2B9E903A" w14:textId="77777777" w:rsidR="009A00C1" w:rsidRDefault="009A00C1" w:rsidP="00D76433">
      <w:pPr>
        <w:autoSpaceDE w:val="0"/>
        <w:autoSpaceDN w:val="0"/>
        <w:rPr>
          <w:rFonts w:ascii="Sora" w:hAnsi="Sora" w:cs="Sora"/>
          <w:b/>
          <w:bCs/>
          <w:lang w:val="en-GB"/>
        </w:rPr>
      </w:pPr>
    </w:p>
    <w:p w14:paraId="071473C0" w14:textId="7CA39BD7" w:rsidR="00D76433" w:rsidRPr="00A5075D" w:rsidRDefault="00D76433" w:rsidP="00D76433">
      <w:pPr>
        <w:autoSpaceDE w:val="0"/>
        <w:autoSpaceDN w:val="0"/>
        <w:rPr>
          <w:rFonts w:ascii="Sora" w:hAnsi="Sora" w:cs="Sora"/>
          <w:b/>
          <w:bCs/>
          <w:lang w:val="en-GB"/>
        </w:rPr>
      </w:pPr>
      <w:r w:rsidRPr="00A5075D">
        <w:rPr>
          <w:rFonts w:ascii="Sora" w:hAnsi="Sora" w:cs="Sora"/>
          <w:b/>
          <w:bCs/>
          <w:lang w:val="en-GB"/>
        </w:rPr>
        <w:lastRenderedPageBreak/>
        <w:t>About Inverto</w:t>
      </w:r>
    </w:p>
    <w:p w14:paraId="36A94DDD"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A5075D" w:rsidRDefault="00D76433" w:rsidP="00D76433">
      <w:pPr>
        <w:autoSpaceDE w:val="0"/>
        <w:autoSpaceDN w:val="0"/>
        <w:rPr>
          <w:rFonts w:ascii="Sora" w:hAnsi="Sora" w:cs="Sora"/>
          <w:lang w:val="en-GB"/>
        </w:rPr>
      </w:pPr>
    </w:p>
    <w:p w14:paraId="120C526C" w14:textId="77777777" w:rsidR="00AF5119" w:rsidRPr="00A5075D" w:rsidRDefault="00AF5119" w:rsidP="00AF5119">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Pr>
          <w:rFonts w:ascii="Sora" w:hAnsi="Sora" w:cs="Sora"/>
          <w:lang w:val="en-GB"/>
        </w:rPr>
        <w:t>7</w:t>
      </w:r>
      <w:r w:rsidRPr="00A5075D">
        <w:rPr>
          <w:rFonts w:ascii="Sora" w:hAnsi="Sora" w:cs="Sora"/>
          <w:lang w:val="en-GB"/>
        </w:rPr>
        <w:t xml:space="preserve">00 experts across </w:t>
      </w:r>
      <w:r>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B7D1A3" w14:textId="77777777" w:rsidR="00D76433" w:rsidRPr="00A5075D" w:rsidRDefault="00D76433" w:rsidP="00D76433">
      <w:pPr>
        <w:autoSpaceDE w:val="0"/>
        <w:autoSpaceDN w:val="0"/>
        <w:rPr>
          <w:rFonts w:ascii="Sora" w:hAnsi="Sora" w:cs="Sora"/>
          <w:lang w:val="en-GB"/>
        </w:rPr>
      </w:pPr>
    </w:p>
    <w:p w14:paraId="23F23135" w14:textId="77777777" w:rsidR="00D76433" w:rsidRPr="00A5075D" w:rsidRDefault="00D76433" w:rsidP="00D76433">
      <w:pPr>
        <w:autoSpaceDE w:val="0"/>
        <w:autoSpaceDN w:val="0"/>
        <w:rPr>
          <w:rFonts w:ascii="Sora" w:hAnsi="Sora" w:cs="Sora"/>
          <w:lang w:val="en-GB"/>
        </w:rPr>
      </w:pPr>
      <w:r w:rsidRPr="00A5075D">
        <w:rPr>
          <w:rFonts w:ascii="Sora" w:hAnsi="Sora" w:cs="Sora"/>
          <w:lang w:val="en-GB"/>
        </w:rPr>
        <w:t>For more information, please visit www.inverto.com</w:t>
      </w:r>
    </w:p>
    <w:p w14:paraId="1D5693AD" w14:textId="77777777" w:rsidR="00D76433" w:rsidRPr="00A5075D" w:rsidRDefault="00D76433" w:rsidP="00D76433">
      <w:pPr>
        <w:ind w:right="-567"/>
        <w:rPr>
          <w:rFonts w:ascii="Sora" w:hAnsi="Sora" w:cs="Sora"/>
          <w:lang w:val="en-GB"/>
        </w:rPr>
      </w:pPr>
    </w:p>
    <w:p w14:paraId="1D6C0A06" w14:textId="77777777" w:rsidR="00D76433" w:rsidRPr="00A5075D" w:rsidRDefault="00D76433" w:rsidP="00D76433">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sidRPr="004F372C">
        <w:rPr>
          <w:rFonts w:cs="Arial"/>
          <w:noProof/>
          <w:color w:val="000000"/>
          <w:sz w:val="20"/>
          <w:szCs w:val="20"/>
          <w:shd w:val="clear" w:color="auto" w:fill="E6E6E6"/>
        </w:rPr>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0533AA55"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9" w:history="1">
                              <w:r w:rsidR="00056CB4" w:rsidRPr="00D7777F">
                                <w:rPr>
                                  <w:rStyle w:val="Hyperlink"/>
                                  <w:rFonts w:ascii="Sora" w:hAnsi="Sora" w:cs="Sora"/>
                                  <w:szCs w:val="20"/>
                                  <w:lang w:val="en-US"/>
                                </w:rPr>
                                <w:t>iullrich@inverto.com</w:t>
                              </w:r>
                            </w:hyperlink>
                          </w:p>
                          <w:p w14:paraId="7997D935" w14:textId="1588AF5A"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0" w:history="1">
                              <w:r w:rsidR="0026682A" w:rsidRPr="00233EDF">
                                <w:rPr>
                                  <w:rStyle w:val="Hyperlink"/>
                                  <w:rFonts w:ascii="Sora" w:hAnsi="Sora" w:cs="Sora"/>
                                  <w:lang w:val="en-US"/>
                                </w:rPr>
                                <w:t>www.inverto.com</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uzeile"/>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uzeile"/>
                        <w:spacing w:line="360" w:lineRule="auto"/>
                        <w:rPr>
                          <w:rFonts w:ascii="Sora" w:hAnsi="Sora" w:cs="Sora"/>
                          <w:szCs w:val="20"/>
                          <w:lang w:val="en-GB"/>
                        </w:rPr>
                      </w:pPr>
                      <w:proofErr w:type="spellStart"/>
                      <w:r w:rsidRPr="006064D1">
                        <w:rPr>
                          <w:rFonts w:ascii="Sora" w:hAnsi="Sora" w:cs="Sora"/>
                          <w:szCs w:val="20"/>
                          <w:lang w:val="en-US"/>
                        </w:rPr>
                        <w:t>Inverto</w:t>
                      </w:r>
                      <w:proofErr w:type="spellEnd"/>
                      <w:r w:rsidRPr="006064D1">
                        <w:rPr>
                          <w:rFonts w:ascii="Sora" w:hAnsi="Sora" w:cs="Sora"/>
                          <w:szCs w:val="20"/>
                          <w:lang w:val="en-US"/>
                        </w:rPr>
                        <w:t xml:space="preserve"> UK Ltd. • </w:t>
                      </w:r>
                      <w:r w:rsidRPr="006064D1">
                        <w:rPr>
                          <w:rFonts w:ascii="Sora" w:hAnsi="Sora" w:cs="Sora"/>
                          <w:szCs w:val="20"/>
                          <w:lang w:val="en-GB"/>
                        </w:rPr>
                        <w:t>80 Charlotte St London W1T 4QS</w:t>
                      </w:r>
                    </w:p>
                    <w:p w14:paraId="6E79A2E8" w14:textId="77777777" w:rsidR="006064D1" w:rsidRPr="006064D1" w:rsidRDefault="006064D1" w:rsidP="006064D1">
                      <w:pPr>
                        <w:pStyle w:val="Fuzeile"/>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0533AA55"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1" w:history="1">
                        <w:r w:rsidR="00056CB4" w:rsidRPr="00D7777F">
                          <w:rPr>
                            <w:rStyle w:val="Hyperlink"/>
                            <w:rFonts w:ascii="Sora" w:hAnsi="Sora" w:cs="Sora"/>
                            <w:szCs w:val="20"/>
                            <w:lang w:val="en-US"/>
                          </w:rPr>
                          <w:t>iullrich@inverto.com</w:t>
                        </w:r>
                      </w:hyperlink>
                    </w:p>
                    <w:p w14:paraId="7997D935" w14:textId="1588AF5A"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2" w:history="1">
                        <w:r w:rsidR="0026682A" w:rsidRPr="00233EDF">
                          <w:rPr>
                            <w:rStyle w:val="Hyperlink"/>
                            <w:rFonts w:ascii="Sora" w:hAnsi="Sora" w:cs="Sora"/>
                            <w:lang w:val="en-US"/>
                          </w:rPr>
                          <w:t>www.inverto.com</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3"/>
      <w:footerReference w:type="even" r:id="rId14"/>
      <w:footerReference w:type="default" r:id="rId15"/>
      <w:headerReference w:type="first" r:id="rId16"/>
      <w:footerReference w:type="first" r:id="rId17"/>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DD302" w14:textId="77777777" w:rsidR="000D44E0" w:rsidRDefault="000D44E0">
      <w:r>
        <w:separator/>
      </w:r>
    </w:p>
  </w:endnote>
  <w:endnote w:type="continuationSeparator" w:id="0">
    <w:p w14:paraId="1EA6D7B7" w14:textId="77777777" w:rsidR="000D44E0" w:rsidRDefault="000D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21971" w14:textId="77777777" w:rsidR="000D44E0" w:rsidRDefault="000D44E0">
      <w:r>
        <w:separator/>
      </w:r>
    </w:p>
  </w:footnote>
  <w:footnote w:type="continuationSeparator" w:id="0">
    <w:p w14:paraId="604BAD12" w14:textId="77777777" w:rsidR="000D44E0" w:rsidRDefault="000D4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450F66"/>
    <w:multiLevelType w:val="hybridMultilevel"/>
    <w:tmpl w:val="BA783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2"/>
  </w:num>
  <w:num w:numId="3" w16cid:durableId="41372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CB4"/>
    <w:rsid w:val="00056D11"/>
    <w:rsid w:val="00062EEB"/>
    <w:rsid w:val="00073928"/>
    <w:rsid w:val="00076A70"/>
    <w:rsid w:val="0007717D"/>
    <w:rsid w:val="000817C5"/>
    <w:rsid w:val="00083246"/>
    <w:rsid w:val="00087291"/>
    <w:rsid w:val="000A48DB"/>
    <w:rsid w:val="000A5D7D"/>
    <w:rsid w:val="000A617F"/>
    <w:rsid w:val="000B0142"/>
    <w:rsid w:val="000B14C9"/>
    <w:rsid w:val="000B2F44"/>
    <w:rsid w:val="000B3846"/>
    <w:rsid w:val="000B4DC2"/>
    <w:rsid w:val="000C411A"/>
    <w:rsid w:val="000D44E0"/>
    <w:rsid w:val="000D6F4B"/>
    <w:rsid w:val="000E0182"/>
    <w:rsid w:val="000E025C"/>
    <w:rsid w:val="000E1A33"/>
    <w:rsid w:val="000E2A4D"/>
    <w:rsid w:val="000E45DD"/>
    <w:rsid w:val="000E61EA"/>
    <w:rsid w:val="000F1078"/>
    <w:rsid w:val="000F4A64"/>
    <w:rsid w:val="000F72B4"/>
    <w:rsid w:val="00102F67"/>
    <w:rsid w:val="00103640"/>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7CE"/>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1594E"/>
    <w:rsid w:val="00217B43"/>
    <w:rsid w:val="00221135"/>
    <w:rsid w:val="00221A6D"/>
    <w:rsid w:val="00224193"/>
    <w:rsid w:val="00231C9A"/>
    <w:rsid w:val="00233B84"/>
    <w:rsid w:val="00233FBE"/>
    <w:rsid w:val="00234AF9"/>
    <w:rsid w:val="00237116"/>
    <w:rsid w:val="00244FBF"/>
    <w:rsid w:val="002457A5"/>
    <w:rsid w:val="002466EB"/>
    <w:rsid w:val="0025287D"/>
    <w:rsid w:val="00253528"/>
    <w:rsid w:val="00261A59"/>
    <w:rsid w:val="00262A06"/>
    <w:rsid w:val="0026427B"/>
    <w:rsid w:val="002655CA"/>
    <w:rsid w:val="0026682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1C71"/>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209AE"/>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A6"/>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4DE"/>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0424"/>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0AD"/>
    <w:rsid w:val="006077DB"/>
    <w:rsid w:val="00611146"/>
    <w:rsid w:val="00612257"/>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338C"/>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0FD"/>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4524"/>
    <w:rsid w:val="00776D20"/>
    <w:rsid w:val="007805BD"/>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7D8"/>
    <w:rsid w:val="007E1A39"/>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1A23"/>
    <w:rsid w:val="008223FF"/>
    <w:rsid w:val="00822A1E"/>
    <w:rsid w:val="0082341A"/>
    <w:rsid w:val="008276C7"/>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54E7"/>
    <w:rsid w:val="008F3217"/>
    <w:rsid w:val="008F3DC5"/>
    <w:rsid w:val="008F6CCC"/>
    <w:rsid w:val="009065BF"/>
    <w:rsid w:val="00911D4C"/>
    <w:rsid w:val="00913BDC"/>
    <w:rsid w:val="00914569"/>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407F"/>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A00C1"/>
    <w:rsid w:val="009B1CE4"/>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3128"/>
    <w:rsid w:val="00AA41D0"/>
    <w:rsid w:val="00AA4AD2"/>
    <w:rsid w:val="00AA57C9"/>
    <w:rsid w:val="00AB05AE"/>
    <w:rsid w:val="00AB0E5F"/>
    <w:rsid w:val="00AB28B8"/>
    <w:rsid w:val="00AB649C"/>
    <w:rsid w:val="00AC0656"/>
    <w:rsid w:val="00AC08E7"/>
    <w:rsid w:val="00AC0C74"/>
    <w:rsid w:val="00AC2527"/>
    <w:rsid w:val="00AC3400"/>
    <w:rsid w:val="00AC5308"/>
    <w:rsid w:val="00AC5716"/>
    <w:rsid w:val="00AC7B7F"/>
    <w:rsid w:val="00AD12F3"/>
    <w:rsid w:val="00AD1BB4"/>
    <w:rsid w:val="00AE57EB"/>
    <w:rsid w:val="00AF248A"/>
    <w:rsid w:val="00AF5119"/>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39B4"/>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1A9D"/>
    <w:rsid w:val="00CA4C2E"/>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A0131"/>
    <w:rsid w:val="00DA1AA7"/>
    <w:rsid w:val="00DA28FE"/>
    <w:rsid w:val="00DA3A38"/>
    <w:rsid w:val="00DB0A02"/>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E02E7E"/>
    <w:rsid w:val="00E05B43"/>
    <w:rsid w:val="00E06F5C"/>
    <w:rsid w:val="00E07E17"/>
    <w:rsid w:val="00E101E8"/>
    <w:rsid w:val="00E10A75"/>
    <w:rsid w:val="00E11496"/>
    <w:rsid w:val="00E12C76"/>
    <w:rsid w:val="00E13977"/>
    <w:rsid w:val="00E13DA7"/>
    <w:rsid w:val="00E15D3C"/>
    <w:rsid w:val="00E243EA"/>
    <w:rsid w:val="00E37CD0"/>
    <w:rsid w:val="00E41FBD"/>
    <w:rsid w:val="00E420B2"/>
    <w:rsid w:val="00E426E4"/>
    <w:rsid w:val="00E44F23"/>
    <w:rsid w:val="00E45C6D"/>
    <w:rsid w:val="00E460E7"/>
    <w:rsid w:val="00E46F6B"/>
    <w:rsid w:val="00E534E5"/>
    <w:rsid w:val="00E534E6"/>
    <w:rsid w:val="00E5504C"/>
    <w:rsid w:val="00E60E3B"/>
    <w:rsid w:val="00E64261"/>
    <w:rsid w:val="00E708B2"/>
    <w:rsid w:val="00E715DE"/>
    <w:rsid w:val="00E74AB7"/>
    <w:rsid w:val="00E815B3"/>
    <w:rsid w:val="00E82BAD"/>
    <w:rsid w:val="00E9096D"/>
    <w:rsid w:val="00E93384"/>
    <w:rsid w:val="00EA4CD4"/>
    <w:rsid w:val="00EB0170"/>
    <w:rsid w:val="00EB1607"/>
    <w:rsid w:val="00EB259B"/>
    <w:rsid w:val="00EC07B2"/>
    <w:rsid w:val="00EC0AD8"/>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4481"/>
    <w:rsid w:val="00F07A5F"/>
    <w:rsid w:val="00F10AA9"/>
    <w:rsid w:val="00F114E8"/>
    <w:rsid w:val="00F13D85"/>
    <w:rsid w:val="00F15760"/>
    <w:rsid w:val="00F1645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875D7"/>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689F"/>
    <w:rsid w:val="00FF0BE1"/>
    <w:rsid w:val="00FF2809"/>
    <w:rsid w:val="00FF5B98"/>
    <w:rsid w:val="00FF6813"/>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rto.com/en/insights/capex-procurement-in-energy-study-2024/"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verto.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ullrich@inverto.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nverto.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ullrich@inverto.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4799</Characters>
  <Application>Microsoft Office Word</Application>
  <DocSecurity>0</DocSecurity>
  <Lines>39</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DE</vt:lpstr>
      <vt:lpstr>Pressemitteilung DE</vt:lpstr>
    </vt:vector>
  </TitlesOfParts>
  <Company>INVERTO</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4</cp:revision>
  <cp:lastPrinted>2018-04-11T07:34:00Z</cp:lastPrinted>
  <dcterms:created xsi:type="dcterms:W3CDTF">2025-02-25T11:24:00Z</dcterms:created>
  <dcterms:modified xsi:type="dcterms:W3CDTF">2026-10-15T07:45:00Z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